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_rels/header1.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pPr>
      <w:r>
        <w:drawing>
          <wp:anchor behindDoc="0" distT="0" distB="0" distL="0" distR="0" simplePos="0" locked="0" layoutInCell="1" allowOverlap="1" relativeHeight="2">
            <wp:simplePos x="0" y="0"/>
            <wp:positionH relativeFrom="column">
              <wp:posOffset>124460</wp:posOffset>
            </wp:positionH>
            <wp:positionV relativeFrom="paragraph">
              <wp:posOffset>-999490</wp:posOffset>
            </wp:positionV>
            <wp:extent cx="1306830" cy="917575"/>
            <wp:effectExtent l="0" t="0" r="0" b="0"/>
            <wp:wrapSquare wrapText="largest"/>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rcRect l="-38" t="-43" r="-38" b="-43"/>
                    <a:stretch>
                      <a:fillRect/>
                    </a:stretch>
                  </pic:blipFill>
                  <pic:spPr bwMode="auto">
                    <a:xfrm>
                      <a:off x="0" y="0"/>
                      <a:ext cx="1306830" cy="917575"/>
                    </a:xfrm>
                    <a:prstGeom prst="rect">
                      <a:avLst/>
                    </a:prstGeom>
                  </pic:spPr>
                </pic:pic>
              </a:graphicData>
            </a:graphic>
          </wp:anchor>
        </w:drawing>
      </w:r>
      <w:r>
        <w:rPr>
          <w:b/>
          <w:bCs/>
          <w:u w:val="none"/>
          <w:lang w:val="es-ES" w:eastAsia="en-US" w:bidi="ar-SA"/>
        </w:rPr>
        <w:t>A</w:t>
      </w:r>
      <w:r>
        <w:rPr>
          <w:b/>
          <w:bCs/>
          <w:u w:val="none"/>
          <w:lang w:val="es-ES" w:eastAsia="en-US" w:bidi="ar-SA"/>
        </w:rPr>
        <w:t>NEXO XVI</w:t>
      </w:r>
    </w:p>
    <w:p>
      <w:pPr>
        <w:pStyle w:val="Normal"/>
        <w:jc w:val="center"/>
        <w:rPr>
          <w:b/>
          <w:b/>
          <w:bCs/>
          <w:lang w:val="es-ES" w:eastAsia="en-US" w:bidi="ar-SA"/>
        </w:rPr>
      </w:pPr>
      <w:r>
        <w:rPr>
          <w:b/>
          <w:bCs/>
          <w:lang w:val="es-ES" w:eastAsia="en-US" w:bidi="ar-SA"/>
        </w:rPr>
      </w:r>
    </w:p>
    <w:p>
      <w:pPr>
        <w:pStyle w:val="Normal"/>
        <w:jc w:val="center"/>
        <w:rPr>
          <w:u w:val="single"/>
        </w:rPr>
      </w:pPr>
      <w:r>
        <w:rPr>
          <w:b/>
          <w:bCs/>
          <w:u w:val="single"/>
          <w:lang w:val="es-ES" w:eastAsia="en-US" w:bidi="ar-SA"/>
        </w:rPr>
        <w:t>DOCUMENTO EXPLICATIVO DE LA FORMA DE DOCUMENTAR LOS ACUERDOS DE COLABORACIÓN DE EQUIPOS</w:t>
      </w:r>
    </w:p>
    <w:p>
      <w:pPr>
        <w:pStyle w:val="Normal"/>
        <w:jc w:val="both"/>
        <w:rPr>
          <w:b/>
          <w:b/>
          <w:bCs/>
          <w:lang w:val="es-ES" w:eastAsia="en-US" w:bidi="ar-SA"/>
        </w:rPr>
      </w:pPr>
      <w:r>
        <w:rPr>
          <w:b/>
          <w:bCs/>
          <w:lang w:val="es-ES" w:eastAsia="en-US" w:bidi="ar-SA"/>
        </w:rPr>
      </w:r>
    </w:p>
    <w:p>
      <w:pPr>
        <w:pStyle w:val="Normal"/>
        <w:spacing w:before="57" w:after="57"/>
        <w:jc w:val="both"/>
        <w:rPr/>
      </w:pPr>
      <w:r>
        <w:rPr>
          <w:b w:val="false"/>
          <w:bCs w:val="false"/>
          <w:lang w:val="es-ES" w:eastAsia="en-US" w:bidi="ar-SA"/>
        </w:rPr>
        <w:t xml:space="preserve">A continuación, se explica la forma en que deben de documentar </w:t>
      </w:r>
      <w:r>
        <w:rPr>
          <w:b w:val="false"/>
          <w:bCs w:val="false"/>
          <w:u w:val="single"/>
          <w:lang w:val="es-ES" w:eastAsia="en-US" w:bidi="ar-SA"/>
        </w:rPr>
        <w:t xml:space="preserve">los acuerdos de colaboración de los dispositivos médicos y la copia del documento del fabricante que acredita como SAT oficial </w:t>
      </w:r>
      <w:r>
        <w:rPr>
          <w:b w:val="false"/>
          <w:bCs w:val="false"/>
          <w:u w:val="single"/>
          <w:lang w:val="es-ES" w:eastAsia="en-US" w:bidi="ar-SA"/>
        </w:rPr>
        <w:t>o autorizado</w:t>
      </w:r>
      <w:r>
        <w:rPr>
          <w:b w:val="false"/>
          <w:bCs w:val="false"/>
          <w:lang w:val="es-ES" w:eastAsia="en-US" w:bidi="ar-SA"/>
        </w:rPr>
        <w:t xml:space="preserve"> a los que se hace referencia en el Pliego de Prescripciones Técnicas y en los Criterios de Adjudicación. Así mismo, se incluye en este ANEXO un cuadro aclaratorio de los documentos obligatorios que acreditan la relación entre las empresas. En el siguiente cuadro resumen se enumeran los documentos obligatorios que se deben aportar en función de quién sea la empresa licitadora y la empresa mantenedora del equipamiento.</w:t>
      </w:r>
    </w:p>
    <w:p>
      <w:pPr>
        <w:pStyle w:val="Normal"/>
        <w:jc w:val="both"/>
        <w:rPr>
          <w:b w:val="false"/>
          <w:b w:val="false"/>
          <w:bCs w:val="false"/>
          <w:lang w:val="es-ES" w:eastAsia="en-US" w:bidi="ar-SA"/>
        </w:rPr>
      </w:pPr>
      <w:r>
        <w:rPr>
          <w:b w:val="false"/>
          <w:bCs w:val="false"/>
          <w:lang w:val="es-ES" w:eastAsia="en-US" w:bidi="ar-SA"/>
        </w:rPr>
      </w:r>
    </w:p>
    <w:p>
      <w:pPr>
        <w:pStyle w:val="Normal"/>
        <w:spacing w:before="57" w:after="57"/>
        <w:jc w:val="both"/>
        <w:rPr/>
      </w:pPr>
      <w:r>
        <w:rPr>
          <w:b w:val="false"/>
          <w:bCs w:val="false"/>
          <w:lang w:val="es-ES" w:eastAsia="en-US" w:bidi="ar-SA"/>
        </w:rPr>
        <w:t xml:space="preserve">Para dar validez a la declaración responsable de los sistemas médicos que serán mantenidos por el fabricante, su SAT, </w:t>
      </w:r>
      <w:r>
        <w:rPr>
          <w:b w:val="false"/>
          <w:bCs w:val="false"/>
          <w:i w:val="false"/>
          <w:iCs w:val="false"/>
          <w:u w:val="none"/>
          <w:lang w:val="es-ES" w:eastAsia="en-US" w:bidi="ar-SA"/>
        </w:rPr>
        <w:t xml:space="preserve">o empresa que posea técnicos debidamente cualificados o acreditados, de los Anexos XVII y XVIII, </w:t>
      </w:r>
      <w:r>
        <w:rPr>
          <w:b w:val="false"/>
          <w:bCs w:val="false"/>
          <w:lang w:val="es-ES" w:eastAsia="en-US" w:bidi="ar-SA"/>
        </w:rPr>
        <w:t>será preciso completar para cada uno de los acuerdos de colaboración lo siguientes datos que se detallan.</w:t>
      </w:r>
    </w:p>
    <w:p>
      <w:pPr>
        <w:pStyle w:val="Normal"/>
        <w:jc w:val="both"/>
        <w:rPr>
          <w:b w:val="false"/>
          <w:b w:val="false"/>
          <w:bCs w:val="false"/>
          <w:lang w:val="es-ES" w:eastAsia="en-US" w:bidi="ar-SA"/>
        </w:rPr>
      </w:pPr>
      <w:r>
        <w:rPr>
          <w:b w:val="false"/>
          <w:bCs w:val="false"/>
          <w:lang w:val="es-ES" w:eastAsia="en-US" w:bidi="ar-SA"/>
        </w:rPr>
      </w:r>
    </w:p>
    <w:p>
      <w:pPr>
        <w:pStyle w:val="Normal"/>
        <w:widowControl/>
        <w:bidi w:val="0"/>
        <w:spacing w:lineRule="auto" w:line="276" w:before="57" w:after="257"/>
        <w:jc w:val="both"/>
        <w:rPr/>
      </w:pPr>
      <w:r>
        <w:rPr>
          <w:b/>
          <w:bCs/>
          <w:lang w:val="es-ES" w:eastAsia="en-US" w:bidi="ar-SA"/>
        </w:rPr>
        <w:t xml:space="preserve">La </w:t>
      </w:r>
      <w:r>
        <w:rPr>
          <w:b/>
          <w:bCs/>
          <w:u w:val="single"/>
          <w:lang w:val="es-ES" w:eastAsia="en-US" w:bidi="ar-SA"/>
        </w:rPr>
        <w:t>declaración responsable</w:t>
      </w:r>
      <w:r>
        <w:rPr>
          <w:b/>
          <w:bCs/>
          <w:lang w:val="es-ES" w:eastAsia="en-US" w:bidi="ar-SA"/>
        </w:rPr>
        <w:t xml:space="preserve"> y la </w:t>
      </w:r>
      <w:r>
        <w:rPr>
          <w:b/>
          <w:bCs/>
          <w:u w:val="single"/>
          <w:lang w:val="es-ES" w:eastAsia="en-US" w:bidi="ar-SA"/>
        </w:rPr>
        <w:t xml:space="preserve">copia del documento del fabricante que acredita como SAT oficial </w:t>
      </w:r>
      <w:r>
        <w:rPr>
          <w:b/>
          <w:bCs/>
          <w:u w:val="single"/>
          <w:lang w:val="es-ES" w:eastAsia="en-US" w:bidi="ar-SA"/>
        </w:rPr>
        <w:t>o autorizado</w:t>
      </w:r>
      <w:r>
        <w:rPr>
          <w:b/>
          <w:bCs/>
          <w:lang w:val="es-ES" w:eastAsia="en-US" w:bidi="ar-SA"/>
        </w:rPr>
        <w:t xml:space="preserve"> se presentarán en la fase de </w:t>
      </w:r>
      <w:r>
        <w:rPr>
          <w:b/>
          <w:bCs/>
          <w:u w:val="single"/>
          <w:lang w:val="es-ES" w:eastAsia="en-US" w:bidi="ar-SA"/>
        </w:rPr>
        <w:t>licitación</w:t>
      </w:r>
      <w:r>
        <w:rPr>
          <w:b/>
          <w:bCs/>
          <w:lang w:val="es-ES" w:eastAsia="en-US" w:bidi="ar-SA"/>
        </w:rPr>
        <w:t xml:space="preserve"> junto a la documentación de la oferta.</w:t>
      </w:r>
    </w:p>
    <w:p>
      <w:pPr>
        <w:pStyle w:val="Normal"/>
        <w:widowControl/>
        <w:bidi w:val="0"/>
        <w:spacing w:lineRule="auto" w:line="276" w:before="0" w:after="29"/>
        <w:jc w:val="left"/>
        <w:rPr/>
      </w:pPr>
      <w:r>
        <w:rPr>
          <w:b/>
          <w:bCs/>
          <w:lang w:val="es-ES" w:eastAsia="en-US" w:bidi="ar-SA"/>
        </w:rPr>
        <w:t xml:space="preserve">La </w:t>
      </w:r>
      <w:r>
        <w:rPr>
          <w:b/>
          <w:bCs/>
          <w:u w:val="single"/>
          <w:lang w:val="es-ES" w:eastAsia="en-US" w:bidi="ar-SA"/>
        </w:rPr>
        <w:t>copia del acuerdo de colaboración</w:t>
      </w:r>
      <w:r>
        <w:rPr>
          <w:b/>
          <w:bCs/>
          <w:lang w:val="es-ES" w:eastAsia="en-US" w:bidi="ar-SA"/>
        </w:rPr>
        <w:t xml:space="preserve"> solo lo deberá presentar la empresa propuesta para ser contratista </w:t>
      </w:r>
      <w:r>
        <w:rPr>
          <w:b/>
          <w:bCs/>
          <w:u w:val="single"/>
          <w:lang w:val="es-ES" w:eastAsia="en-US" w:bidi="ar-SA"/>
        </w:rPr>
        <w:t>con carácter previo a la formalización del contrato</w:t>
      </w:r>
      <w:r>
        <w:rPr>
          <w:b/>
          <w:bCs/>
          <w:lang w:val="es-ES" w:eastAsia="en-US" w:bidi="ar-SA"/>
        </w:rPr>
        <w:t xml:space="preserve"> cuando aporte el resto de la documentación administrativa.</w:t>
      </w:r>
      <w:r>
        <w:br w:type="page"/>
      </w:r>
    </w:p>
    <w:p>
      <w:pPr>
        <w:pStyle w:val="Normal"/>
        <w:widowControl/>
        <w:bidi w:val="0"/>
        <w:spacing w:lineRule="auto" w:line="276" w:before="0" w:after="200"/>
        <w:jc w:val="center"/>
        <w:rPr/>
      </w:pPr>
      <w:r>
        <w:rPr>
          <w:b/>
          <w:bCs/>
          <w:u w:val="single"/>
          <w:lang w:val="es-ES" w:eastAsia="en-US" w:bidi="ar-SA"/>
        </w:rPr>
        <w:t>CUADRO RESUMEN DE DOCUMENTACIÓN OBLIGATORIA</w:t>
      </w:r>
    </w:p>
    <w:tbl>
      <w:tblPr>
        <w:tblW w:w="13773" w:type="dxa"/>
        <w:jc w:val="left"/>
        <w:tblInd w:w="-1" w:type="dxa"/>
        <w:tblBorders>
          <w:top w:val="single" w:sz="2" w:space="0" w:color="000000"/>
          <w:left w:val="single" w:sz="2" w:space="0" w:color="000000"/>
          <w:bottom w:val="single" w:sz="2" w:space="0" w:color="000000"/>
          <w:insideH w:val="single" w:sz="2" w:space="0" w:color="000000"/>
        </w:tblBorders>
        <w:tblCellMar>
          <w:top w:w="55" w:type="dxa"/>
          <w:left w:w="48" w:type="dxa"/>
          <w:bottom w:w="55" w:type="dxa"/>
          <w:right w:w="55" w:type="dxa"/>
        </w:tblCellMar>
      </w:tblPr>
      <w:tblGrid>
        <w:gridCol w:w="2494"/>
        <w:gridCol w:w="3791"/>
        <w:gridCol w:w="3577"/>
        <w:gridCol w:w="3910"/>
      </w:tblGrid>
      <w:tr>
        <w:trPr/>
        <w:tc>
          <w:tcPr>
            <w:tcW w:w="2494" w:type="dxa"/>
            <w:tcBorders>
              <w:top w:val="single" w:sz="2" w:space="0" w:color="000000"/>
              <w:left w:val="single" w:sz="2" w:space="0" w:color="000000"/>
              <w:bottom w:val="single" w:sz="2" w:space="0" w:color="000000"/>
              <w:insideH w:val="single" w:sz="2" w:space="0" w:color="000000"/>
            </w:tcBorders>
            <w:shd w:fill="A9A9A9" w:val="clear"/>
            <w:vAlign w:val="center"/>
          </w:tcPr>
          <w:p>
            <w:pPr>
              <w:pStyle w:val="Contenidodelatabla"/>
              <w:spacing w:before="0" w:after="200"/>
              <w:jc w:val="center"/>
              <w:rPr/>
            </w:pPr>
            <w:r>
              <w:rPr>
                <w:b/>
                <w:bCs/>
                <w:lang w:val="es-ES" w:eastAsia="en-US" w:bidi="ar-SA"/>
              </w:rPr>
              <w:t>Caso</w:t>
            </w:r>
          </w:p>
        </w:tc>
        <w:tc>
          <w:tcPr>
            <w:tcW w:w="3791" w:type="dxa"/>
            <w:tcBorders>
              <w:top w:val="single" w:sz="2" w:space="0" w:color="000000"/>
              <w:left w:val="single" w:sz="2" w:space="0" w:color="000000"/>
              <w:bottom w:val="single" w:sz="2" w:space="0" w:color="000000"/>
              <w:insideH w:val="single" w:sz="2" w:space="0" w:color="000000"/>
            </w:tcBorders>
            <w:shd w:fill="A9A9A9" w:val="clear"/>
            <w:vAlign w:val="center"/>
          </w:tcPr>
          <w:p>
            <w:pPr>
              <w:pStyle w:val="Contenidodelatabla"/>
              <w:spacing w:before="0" w:after="200"/>
              <w:jc w:val="center"/>
              <w:rPr/>
            </w:pPr>
            <w:r>
              <w:rPr>
                <w:b/>
                <w:bCs/>
                <w:lang w:val="es-ES" w:eastAsia="en-US" w:bidi="ar-SA"/>
              </w:rPr>
              <w:t xml:space="preserve">Empresa Licitadora </w:t>
            </w:r>
          </w:p>
        </w:tc>
        <w:tc>
          <w:tcPr>
            <w:tcW w:w="3577" w:type="dxa"/>
            <w:tcBorders>
              <w:top w:val="single" w:sz="2" w:space="0" w:color="000000"/>
              <w:left w:val="single" w:sz="2" w:space="0" w:color="000000"/>
              <w:bottom w:val="single" w:sz="2" w:space="0" w:color="000000"/>
              <w:insideH w:val="single" w:sz="2" w:space="0" w:color="000000"/>
            </w:tcBorders>
            <w:shd w:fill="A9A9A9" w:val="clear"/>
            <w:vAlign w:val="center"/>
          </w:tcPr>
          <w:p>
            <w:pPr>
              <w:pStyle w:val="Contenidodelatabla"/>
              <w:spacing w:before="0" w:after="200"/>
              <w:jc w:val="center"/>
              <w:rPr/>
            </w:pPr>
            <w:r>
              <w:rPr>
                <w:b/>
                <w:bCs/>
                <w:lang w:val="es-ES" w:eastAsia="en-US" w:bidi="ar-SA"/>
              </w:rPr>
              <w:t xml:space="preserve">Empresa mantenedora de equipamiento </w:t>
            </w:r>
          </w:p>
        </w:tc>
        <w:tc>
          <w:tcPr>
            <w:tcW w:w="391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9A9A9" w:val="clear"/>
            <w:vAlign w:val="center"/>
          </w:tcPr>
          <w:p>
            <w:pPr>
              <w:pStyle w:val="Contenidodelatabla"/>
              <w:spacing w:before="0" w:after="200"/>
              <w:jc w:val="center"/>
              <w:rPr/>
            </w:pPr>
            <w:r>
              <w:rPr>
                <w:b/>
                <w:bCs/>
                <w:lang w:val="es-ES" w:eastAsia="en-US" w:bidi="ar-SA"/>
              </w:rPr>
              <w:t xml:space="preserve">Documentos obligatorios que acreditan relación </w:t>
            </w:r>
          </w:p>
        </w:tc>
      </w:tr>
      <w:tr>
        <w:trPr/>
        <w:tc>
          <w:tcPr>
            <w:tcW w:w="2494"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jc w:val="center"/>
              <w:rPr/>
            </w:pPr>
            <w:r>
              <w:rPr>
                <w:color w:val="auto"/>
                <w:sz w:val="20"/>
                <w:szCs w:val="20"/>
                <w:lang w:val="es-ES" w:eastAsia="en-US" w:bidi="ar-SA"/>
              </w:rPr>
              <w:t>Caso 1</w:t>
            </w:r>
          </w:p>
        </w:tc>
        <w:tc>
          <w:tcPr>
            <w:tcW w:w="3791"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sz w:val="20"/>
                <w:szCs w:val="20"/>
                <w:lang w:val="es-ES" w:eastAsia="en-US" w:bidi="ar-SA"/>
              </w:rPr>
              <w:t xml:space="preserve">El </w:t>
            </w:r>
            <w:r>
              <w:rPr>
                <w:b/>
                <w:bCs/>
                <w:color w:val="0000FF"/>
                <w:sz w:val="20"/>
                <w:szCs w:val="20"/>
                <w:lang w:val="es-ES" w:eastAsia="en-US" w:bidi="ar-SA"/>
              </w:rPr>
              <w:t>fabricante</w:t>
            </w:r>
          </w:p>
        </w:tc>
        <w:tc>
          <w:tcPr>
            <w:tcW w:w="3577"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sz w:val="20"/>
                <w:szCs w:val="20"/>
                <w:lang w:val="es-ES" w:eastAsia="en-US" w:bidi="ar-SA"/>
              </w:rPr>
              <w:t xml:space="preserve">El </w:t>
            </w:r>
            <w:r>
              <w:rPr>
                <w:b/>
                <w:bCs/>
                <w:color w:val="0000FF"/>
                <w:sz w:val="20"/>
                <w:szCs w:val="20"/>
                <w:lang w:val="es-ES" w:eastAsia="en-US" w:bidi="ar-SA"/>
              </w:rPr>
              <w:t>fabricante</w:t>
            </w:r>
          </w:p>
        </w:tc>
        <w:tc>
          <w:tcPr>
            <w:tcW w:w="391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ntenidodelatabla"/>
              <w:spacing w:before="0" w:after="200"/>
              <w:rPr/>
            </w:pPr>
            <w:r>
              <w:rPr>
                <w:sz w:val="20"/>
                <w:szCs w:val="20"/>
                <w:lang w:val="es-ES" w:eastAsia="en-US" w:bidi="ar-SA"/>
              </w:rPr>
              <w:t>- Declaración responsable.</w:t>
            </w:r>
          </w:p>
        </w:tc>
      </w:tr>
      <w:tr>
        <w:trPr/>
        <w:tc>
          <w:tcPr>
            <w:tcW w:w="2494" w:type="dxa"/>
            <w:vMerge w:val="restart"/>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jc w:val="center"/>
              <w:rPr/>
            </w:pPr>
            <w:r>
              <w:rPr>
                <w:color w:val="auto"/>
                <w:sz w:val="20"/>
                <w:szCs w:val="20"/>
                <w:lang w:val="es-ES" w:eastAsia="en-US" w:bidi="ar-SA"/>
              </w:rPr>
              <w:t>Caso 2</w:t>
            </w:r>
          </w:p>
        </w:tc>
        <w:tc>
          <w:tcPr>
            <w:tcW w:w="3791"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sz w:val="20"/>
                <w:szCs w:val="20"/>
                <w:u w:val="single"/>
                <w:lang w:val="es-ES" w:eastAsia="en-US" w:bidi="ar-SA"/>
              </w:rPr>
              <w:t>Caso 2.</w:t>
            </w:r>
            <w:r>
              <w:rPr>
                <w:b/>
                <w:bCs/>
                <w:sz w:val="20"/>
                <w:szCs w:val="20"/>
                <w:u w:val="none"/>
                <w:lang w:val="es-ES" w:eastAsia="en-US" w:bidi="ar-SA"/>
              </w:rPr>
              <w:t xml:space="preserve">A. El </w:t>
            </w:r>
            <w:r>
              <w:rPr>
                <w:b/>
                <w:bCs/>
                <w:color w:val="0000FF"/>
                <w:sz w:val="20"/>
                <w:szCs w:val="20"/>
                <w:u w:val="none"/>
                <w:lang w:val="es-ES" w:eastAsia="en-US" w:bidi="ar-SA"/>
              </w:rPr>
              <w:t>fabricante</w:t>
            </w:r>
          </w:p>
        </w:tc>
        <w:tc>
          <w:tcPr>
            <w:tcW w:w="3577"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sz w:val="20"/>
                <w:szCs w:val="20"/>
                <w:u w:val="single"/>
                <w:lang w:val="es-ES" w:eastAsia="en-US" w:bidi="ar-SA"/>
              </w:rPr>
              <w:t>Caso 2.A.</w:t>
            </w:r>
            <w:r>
              <w:rPr>
                <w:b/>
                <w:bCs/>
                <w:sz w:val="20"/>
                <w:szCs w:val="20"/>
                <w:u w:val="none"/>
                <w:lang w:val="es-ES" w:eastAsia="en-US" w:bidi="ar-SA"/>
              </w:rPr>
              <w:t xml:space="preserve"> El </w:t>
            </w:r>
            <w:r>
              <w:rPr>
                <w:b/>
                <w:bCs/>
                <w:color w:val="0000FF"/>
                <w:sz w:val="20"/>
                <w:szCs w:val="20"/>
                <w:u w:val="none"/>
                <w:lang w:val="es-ES" w:eastAsia="en-US" w:bidi="ar-SA"/>
              </w:rPr>
              <w:t>SAT oficial del fabricante o autorizado por este</w:t>
            </w:r>
          </w:p>
        </w:tc>
        <w:tc>
          <w:tcPr>
            <w:tcW w:w="3910" w:type="dxa"/>
            <w:vMerge w:val="restart"/>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ntenidodelatabla"/>
              <w:rPr/>
            </w:pPr>
            <w:r>
              <w:rPr>
                <w:sz w:val="20"/>
                <w:szCs w:val="20"/>
                <w:lang w:val="es-ES" w:eastAsia="en-US" w:bidi="ar-SA"/>
              </w:rPr>
              <w:t>- Declaración responsable.</w:t>
            </w:r>
          </w:p>
          <w:p>
            <w:pPr>
              <w:pStyle w:val="Contenidodelatabla"/>
              <w:spacing w:before="0" w:after="200"/>
              <w:rPr/>
            </w:pPr>
            <w:r>
              <w:rPr>
                <w:sz w:val="20"/>
                <w:szCs w:val="20"/>
                <w:lang w:val="es-ES" w:eastAsia="en-US" w:bidi="ar-SA"/>
              </w:rPr>
              <w:t>- Copia del documento del fabricante que acredita como SAT oficial o autorizado por el fabricante.</w:t>
            </w:r>
          </w:p>
        </w:tc>
      </w:tr>
      <w:tr>
        <w:trPr/>
        <w:tc>
          <w:tcPr>
            <w:tcW w:w="2494" w:type="dxa"/>
            <w:vMerge w:val="continue"/>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jc w:val="center"/>
              <w:rPr>
                <w:color w:val="auto"/>
                <w:sz w:val="20"/>
                <w:szCs w:val="20"/>
                <w:lang w:val="es-ES" w:eastAsia="en-US" w:bidi="ar-SA"/>
              </w:rPr>
            </w:pPr>
            <w:r>
              <w:rPr>
                <w:color w:val="auto"/>
                <w:sz w:val="20"/>
                <w:szCs w:val="20"/>
                <w:lang w:val="es-ES" w:eastAsia="en-US" w:bidi="ar-SA"/>
              </w:rPr>
            </w:r>
          </w:p>
        </w:tc>
        <w:tc>
          <w:tcPr>
            <w:tcW w:w="3791"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sz w:val="20"/>
                <w:szCs w:val="20"/>
                <w:u w:val="single"/>
                <w:lang w:val="es-ES" w:eastAsia="en-US" w:bidi="ar-SA"/>
              </w:rPr>
              <w:t>Caso 2.</w:t>
            </w:r>
            <w:r>
              <w:rPr>
                <w:b/>
                <w:bCs/>
                <w:sz w:val="20"/>
                <w:szCs w:val="20"/>
                <w:u w:val="none"/>
                <w:lang w:val="es-ES" w:eastAsia="en-US" w:bidi="ar-SA"/>
              </w:rPr>
              <w:t xml:space="preserve">B. El </w:t>
            </w:r>
            <w:r>
              <w:rPr>
                <w:b/>
                <w:bCs/>
                <w:color w:val="0000FF"/>
                <w:sz w:val="20"/>
                <w:szCs w:val="20"/>
                <w:u w:val="none"/>
                <w:lang w:val="es-ES" w:eastAsia="en-US" w:bidi="ar-SA"/>
              </w:rPr>
              <w:t>SAT oficial del fabricante o autorizado por este</w:t>
            </w:r>
          </w:p>
        </w:tc>
        <w:tc>
          <w:tcPr>
            <w:tcW w:w="3577"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sz w:val="20"/>
                <w:szCs w:val="20"/>
                <w:u w:val="single"/>
                <w:lang w:val="es-ES" w:eastAsia="en-US" w:bidi="ar-SA"/>
              </w:rPr>
              <w:t>Caso 2.B.</w:t>
            </w:r>
            <w:r>
              <w:rPr>
                <w:b/>
                <w:bCs/>
                <w:sz w:val="20"/>
                <w:szCs w:val="20"/>
                <w:u w:val="none"/>
                <w:lang w:val="es-ES" w:eastAsia="en-US" w:bidi="ar-SA"/>
              </w:rPr>
              <w:t xml:space="preserve"> El </w:t>
            </w:r>
            <w:r>
              <w:rPr>
                <w:b/>
                <w:bCs/>
                <w:color w:val="0000FF"/>
                <w:sz w:val="20"/>
                <w:szCs w:val="20"/>
                <w:u w:val="none"/>
                <w:lang w:val="es-ES" w:eastAsia="en-US" w:bidi="ar-SA"/>
              </w:rPr>
              <w:t>SAT oficial del fabricante o autorizado por este</w:t>
            </w:r>
          </w:p>
        </w:tc>
        <w:tc>
          <w:tcPr>
            <w:tcW w:w="3910" w:type="dxa"/>
            <w:vMerge w:val="continue"/>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ntenidodelatabla"/>
              <w:spacing w:before="0" w:after="200"/>
              <w:rPr>
                <w:sz w:val="20"/>
                <w:szCs w:val="20"/>
                <w:lang w:val="es-ES" w:eastAsia="en-US" w:bidi="ar-SA"/>
              </w:rPr>
            </w:pPr>
            <w:r>
              <w:rPr>
                <w:sz w:val="20"/>
                <w:szCs w:val="20"/>
                <w:lang w:val="es-ES" w:eastAsia="en-US" w:bidi="ar-SA"/>
              </w:rPr>
            </w:r>
          </w:p>
        </w:tc>
      </w:tr>
      <w:tr>
        <w:trPr/>
        <w:tc>
          <w:tcPr>
            <w:tcW w:w="2494"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jc w:val="center"/>
              <w:rPr/>
            </w:pPr>
            <w:r>
              <w:rPr>
                <w:color w:val="auto"/>
                <w:sz w:val="20"/>
                <w:szCs w:val="20"/>
                <w:lang w:val="es-ES" w:eastAsia="en-US" w:bidi="ar-SA"/>
              </w:rPr>
              <w:t>Caso 3</w:t>
            </w:r>
          </w:p>
        </w:tc>
        <w:tc>
          <w:tcPr>
            <w:tcW w:w="3791"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color w:val="0000FF"/>
                <w:sz w:val="20"/>
                <w:szCs w:val="20"/>
                <w:lang w:val="es-ES" w:eastAsia="en-US" w:bidi="ar-SA"/>
              </w:rPr>
              <w:t>Empresa licitadora</w:t>
            </w:r>
            <w:r>
              <w:rPr>
                <w:b/>
                <w:bCs/>
                <w:sz w:val="20"/>
                <w:szCs w:val="20"/>
                <w:lang w:val="es-ES" w:eastAsia="en-US" w:bidi="ar-SA"/>
              </w:rPr>
              <w:t xml:space="preserve"> distinta del fabricante y distinta del SAT oficial o autorizado</w:t>
            </w:r>
          </w:p>
        </w:tc>
        <w:tc>
          <w:tcPr>
            <w:tcW w:w="3577"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sz w:val="20"/>
                <w:szCs w:val="20"/>
                <w:lang w:val="es-ES" w:eastAsia="en-US" w:bidi="ar-SA"/>
              </w:rPr>
              <w:t xml:space="preserve">El </w:t>
            </w:r>
            <w:r>
              <w:rPr>
                <w:b/>
                <w:bCs/>
                <w:color w:val="0000FF"/>
                <w:sz w:val="20"/>
                <w:szCs w:val="20"/>
                <w:lang w:val="es-ES" w:eastAsia="en-US" w:bidi="ar-SA"/>
              </w:rPr>
              <w:t>fabricante</w:t>
            </w:r>
            <w:r>
              <w:rPr>
                <w:b/>
                <w:bCs/>
                <w:sz w:val="20"/>
                <w:szCs w:val="20"/>
                <w:lang w:val="es-ES" w:eastAsia="en-US" w:bidi="ar-SA"/>
              </w:rPr>
              <w:t xml:space="preserve"> (la empresa licitadora dispone de </w:t>
            </w:r>
            <w:r>
              <w:rPr>
                <w:b/>
                <w:bCs/>
                <w:color w:val="0000FF"/>
                <w:sz w:val="20"/>
                <w:szCs w:val="20"/>
                <w:lang w:val="es-ES" w:eastAsia="en-US" w:bidi="ar-SA"/>
              </w:rPr>
              <w:t>acuerdos</w:t>
            </w:r>
            <w:r>
              <w:rPr>
                <w:b/>
                <w:bCs/>
                <w:sz w:val="20"/>
                <w:szCs w:val="20"/>
                <w:lang w:val="es-ES" w:eastAsia="en-US" w:bidi="ar-SA"/>
              </w:rPr>
              <w:t xml:space="preserve"> de colaboración c</w:t>
            </w:r>
            <w:r>
              <w:rPr>
                <w:b/>
                <w:bCs/>
                <w:color w:val="0000FF"/>
                <w:sz w:val="20"/>
                <w:szCs w:val="20"/>
                <w:lang w:val="es-ES" w:eastAsia="en-US" w:bidi="ar-SA"/>
              </w:rPr>
              <w:t>on las empresas fabricantes de dichos equipos</w:t>
            </w:r>
            <w:r>
              <w:rPr>
                <w:b/>
                <w:bCs/>
                <w:sz w:val="20"/>
                <w:szCs w:val="20"/>
                <w:lang w:val="es-ES" w:eastAsia="en-US" w:bidi="ar-SA"/>
              </w:rPr>
              <w:t>)</w:t>
            </w:r>
          </w:p>
        </w:tc>
        <w:tc>
          <w:tcPr>
            <w:tcW w:w="391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ntenidodelatabla"/>
              <w:rPr/>
            </w:pPr>
            <w:r>
              <w:rPr>
                <w:sz w:val="20"/>
                <w:szCs w:val="20"/>
                <w:lang w:val="es-ES" w:eastAsia="en-US" w:bidi="ar-SA"/>
              </w:rPr>
              <w:t>- Declaración responsable.</w:t>
            </w:r>
          </w:p>
          <w:p>
            <w:pPr>
              <w:pStyle w:val="Contenidodelatabla"/>
              <w:spacing w:before="0" w:after="200"/>
              <w:rPr/>
            </w:pPr>
            <w:r>
              <w:rPr>
                <w:sz w:val="20"/>
                <w:szCs w:val="20"/>
                <w:lang w:val="es-ES" w:eastAsia="en-US" w:bidi="ar-SA"/>
              </w:rPr>
              <w:t xml:space="preserve">- Copia del acuerdo de colaboración. </w:t>
            </w:r>
          </w:p>
        </w:tc>
      </w:tr>
      <w:tr>
        <w:trPr/>
        <w:tc>
          <w:tcPr>
            <w:tcW w:w="2494"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jc w:val="center"/>
              <w:rPr/>
            </w:pPr>
            <w:r>
              <w:rPr>
                <w:color w:val="auto"/>
                <w:sz w:val="20"/>
                <w:szCs w:val="20"/>
                <w:lang w:val="es-ES" w:eastAsia="en-US" w:bidi="ar-SA"/>
              </w:rPr>
              <w:t>Caso 4</w:t>
            </w:r>
          </w:p>
        </w:tc>
        <w:tc>
          <w:tcPr>
            <w:tcW w:w="3791"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color w:val="0000FF"/>
                <w:sz w:val="20"/>
                <w:szCs w:val="20"/>
                <w:lang w:val="es-ES" w:eastAsia="en-US" w:bidi="ar-SA"/>
              </w:rPr>
              <w:t>Empresa licitadora</w:t>
            </w:r>
            <w:r>
              <w:rPr>
                <w:b/>
                <w:bCs/>
                <w:sz w:val="20"/>
                <w:szCs w:val="20"/>
                <w:lang w:val="es-ES" w:eastAsia="en-US" w:bidi="ar-SA"/>
              </w:rPr>
              <w:t xml:space="preserve"> distinta del fabricante y distinta del SAT oficial o autorizado</w:t>
            </w:r>
          </w:p>
        </w:tc>
        <w:tc>
          <w:tcPr>
            <w:tcW w:w="3577"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sz w:val="20"/>
                <w:szCs w:val="20"/>
                <w:lang w:val="es-ES" w:eastAsia="en-US" w:bidi="ar-SA"/>
              </w:rPr>
              <w:t xml:space="preserve">El </w:t>
            </w:r>
            <w:r>
              <w:rPr>
                <w:b/>
                <w:bCs/>
                <w:color w:val="0000FF"/>
                <w:sz w:val="20"/>
                <w:szCs w:val="20"/>
                <w:u w:val="none"/>
                <w:lang w:val="es-ES" w:eastAsia="en-US" w:bidi="ar-SA"/>
              </w:rPr>
              <w:t>SAT oficial</w:t>
            </w:r>
            <w:r>
              <w:rPr>
                <w:b/>
                <w:bCs/>
                <w:sz w:val="20"/>
                <w:szCs w:val="20"/>
                <w:lang w:val="es-ES" w:eastAsia="en-US" w:bidi="ar-SA"/>
              </w:rPr>
              <w:t xml:space="preserve"> (la empresa licitadora dispone de </w:t>
            </w:r>
            <w:r>
              <w:rPr>
                <w:b/>
                <w:bCs/>
                <w:color w:val="0000FF"/>
                <w:sz w:val="20"/>
                <w:szCs w:val="20"/>
                <w:lang w:val="es-ES" w:eastAsia="en-US" w:bidi="ar-SA"/>
              </w:rPr>
              <w:t>acuerdos</w:t>
            </w:r>
            <w:r>
              <w:rPr>
                <w:b/>
                <w:bCs/>
                <w:sz w:val="20"/>
                <w:szCs w:val="20"/>
                <w:lang w:val="es-ES" w:eastAsia="en-US" w:bidi="ar-SA"/>
              </w:rPr>
              <w:t xml:space="preserve"> de colaboración c</w:t>
            </w:r>
            <w:r>
              <w:rPr>
                <w:b/>
                <w:bCs/>
                <w:color w:val="0000FF"/>
                <w:sz w:val="20"/>
                <w:szCs w:val="20"/>
                <w:lang w:val="es-ES" w:eastAsia="en-US" w:bidi="ar-SA"/>
              </w:rPr>
              <w:t>on los servicios técnicos oficiales o autorizado por el fabricante de dichos equipos</w:t>
            </w:r>
            <w:r>
              <w:rPr>
                <w:b/>
                <w:bCs/>
                <w:sz w:val="20"/>
                <w:szCs w:val="20"/>
                <w:lang w:val="es-ES" w:eastAsia="en-US" w:bidi="ar-SA"/>
              </w:rPr>
              <w:t>)</w:t>
            </w:r>
          </w:p>
        </w:tc>
        <w:tc>
          <w:tcPr>
            <w:tcW w:w="391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ntenidodelatabla"/>
              <w:spacing w:before="0" w:after="0"/>
              <w:rPr/>
            </w:pPr>
            <w:r>
              <w:rPr>
                <w:sz w:val="20"/>
                <w:szCs w:val="20"/>
                <w:lang w:val="es-ES" w:eastAsia="en-US" w:bidi="ar-SA"/>
              </w:rPr>
              <w:t>- Declaración responsable.</w:t>
            </w:r>
          </w:p>
          <w:p>
            <w:pPr>
              <w:pStyle w:val="Contenidodelatabla"/>
              <w:spacing w:before="0" w:after="0"/>
              <w:rPr/>
            </w:pPr>
            <w:r>
              <w:rPr>
                <w:sz w:val="20"/>
                <w:szCs w:val="20"/>
                <w:lang w:val="es-ES" w:eastAsia="en-US" w:bidi="ar-SA"/>
              </w:rPr>
              <w:t xml:space="preserve">- Copia del acuerdo de colaboración. </w:t>
            </w:r>
          </w:p>
          <w:p>
            <w:pPr>
              <w:pStyle w:val="Contenidodelatabla"/>
              <w:spacing w:before="0" w:after="0"/>
              <w:rPr/>
            </w:pPr>
            <w:r>
              <w:rPr>
                <w:sz w:val="20"/>
                <w:szCs w:val="20"/>
                <w:lang w:val="es-ES" w:eastAsia="en-US" w:bidi="ar-SA"/>
              </w:rPr>
              <w:t>- Copia del documento del fabricante que acredita como SAT oficial o autorizado por el fabricante.</w:t>
            </w:r>
          </w:p>
        </w:tc>
      </w:tr>
      <w:tr>
        <w:trPr/>
        <w:tc>
          <w:tcPr>
            <w:tcW w:w="2494"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jc w:val="center"/>
              <w:rPr/>
            </w:pPr>
            <w:r>
              <w:rPr>
                <w:color w:val="auto"/>
                <w:sz w:val="20"/>
                <w:szCs w:val="20"/>
                <w:lang w:val="es-ES" w:eastAsia="en-US" w:bidi="ar-SA"/>
              </w:rPr>
              <w:t>Caso 5</w:t>
            </w:r>
          </w:p>
        </w:tc>
        <w:tc>
          <w:tcPr>
            <w:tcW w:w="3791"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color w:val="0000FF"/>
                <w:sz w:val="20"/>
                <w:szCs w:val="20"/>
                <w:lang w:val="es-ES" w:eastAsia="en-US" w:bidi="ar-SA"/>
              </w:rPr>
              <w:t>Empresa licitadora</w:t>
            </w:r>
            <w:r>
              <w:rPr>
                <w:b/>
                <w:bCs/>
                <w:sz w:val="20"/>
                <w:szCs w:val="20"/>
                <w:lang w:val="es-ES" w:eastAsia="en-US" w:bidi="ar-SA"/>
              </w:rPr>
              <w:t xml:space="preserve"> distinta del fabricante y distinta del SAT oficial o autorizado</w:t>
            </w:r>
          </w:p>
        </w:tc>
        <w:tc>
          <w:tcPr>
            <w:tcW w:w="3577" w:type="dxa"/>
            <w:tcBorders>
              <w:top w:val="single" w:sz="2" w:space="0" w:color="000000"/>
              <w:left w:val="single" w:sz="2" w:space="0" w:color="000000"/>
              <w:bottom w:val="single" w:sz="2" w:space="0" w:color="000000"/>
              <w:insideH w:val="single" w:sz="2" w:space="0" w:color="000000"/>
            </w:tcBorders>
            <w:shd w:fill="auto" w:val="clear"/>
            <w:vAlign w:val="center"/>
          </w:tcPr>
          <w:p>
            <w:pPr>
              <w:pStyle w:val="Contenidodelatabla"/>
              <w:spacing w:before="0" w:after="200"/>
              <w:rPr/>
            </w:pPr>
            <w:r>
              <w:rPr>
                <w:b/>
                <w:bCs/>
                <w:color w:val="0000FF"/>
                <w:sz w:val="20"/>
                <w:szCs w:val="20"/>
                <w:u w:val="none"/>
                <w:lang w:val="es-ES" w:eastAsia="en-US" w:bidi="ar-SA"/>
              </w:rPr>
              <w:t>Otra empresa</w:t>
            </w:r>
            <w:r>
              <w:rPr>
                <w:b/>
                <w:bCs/>
                <w:sz w:val="20"/>
                <w:szCs w:val="20"/>
                <w:lang w:val="es-ES" w:eastAsia="en-US" w:bidi="ar-SA"/>
              </w:rPr>
              <w:t xml:space="preserve"> (la empresa licitadora dispone de </w:t>
            </w:r>
            <w:r>
              <w:rPr>
                <w:b/>
                <w:bCs/>
                <w:color w:val="0000FF"/>
                <w:sz w:val="20"/>
                <w:szCs w:val="20"/>
                <w:lang w:val="es-ES" w:eastAsia="en-US" w:bidi="ar-SA"/>
              </w:rPr>
              <w:t>acuerdos</w:t>
            </w:r>
            <w:r>
              <w:rPr>
                <w:b/>
                <w:bCs/>
                <w:sz w:val="20"/>
                <w:szCs w:val="20"/>
                <w:lang w:val="es-ES" w:eastAsia="en-US" w:bidi="ar-SA"/>
              </w:rPr>
              <w:t xml:space="preserve"> de colaboración c</w:t>
            </w:r>
            <w:r>
              <w:rPr>
                <w:b/>
                <w:bCs/>
                <w:color w:val="0000FF"/>
                <w:sz w:val="20"/>
                <w:szCs w:val="20"/>
                <w:lang w:val="es-ES" w:eastAsia="en-US" w:bidi="ar-SA"/>
              </w:rPr>
              <w:t>on empresa que posee técnicos debidamente cualificados o acreditados)</w:t>
            </w:r>
          </w:p>
        </w:tc>
        <w:tc>
          <w:tcPr>
            <w:tcW w:w="391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ntenidodelatabla"/>
              <w:spacing w:before="0" w:after="0"/>
              <w:rPr/>
            </w:pPr>
            <w:r>
              <w:rPr>
                <w:sz w:val="20"/>
                <w:szCs w:val="20"/>
                <w:lang w:val="es-ES" w:eastAsia="en-US" w:bidi="ar-SA"/>
              </w:rPr>
              <w:t>- Declaración responsable.</w:t>
            </w:r>
          </w:p>
          <w:p>
            <w:pPr>
              <w:pStyle w:val="Contenidodelatabla"/>
              <w:spacing w:before="0" w:after="0"/>
              <w:rPr/>
            </w:pPr>
            <w:r>
              <w:rPr>
                <w:sz w:val="20"/>
                <w:szCs w:val="20"/>
                <w:lang w:val="es-ES" w:eastAsia="en-US" w:bidi="ar-SA"/>
              </w:rPr>
              <w:t xml:space="preserve">- Copia del acuerdo de colaboración. </w:t>
            </w:r>
          </w:p>
          <w:p>
            <w:pPr>
              <w:pStyle w:val="Contenidodelatabla"/>
              <w:spacing w:before="0" w:after="0"/>
              <w:rPr/>
            </w:pPr>
            <w:r>
              <w:rPr>
                <w:sz w:val="20"/>
                <w:szCs w:val="20"/>
                <w:lang w:val="es-ES" w:eastAsia="en-US" w:bidi="ar-SA"/>
              </w:rPr>
              <w:t>- Documentación que acredite que la empresa posee técnicos debidamente cualificados o acreditados según RD 192/2023.</w:t>
            </w:r>
          </w:p>
        </w:tc>
      </w:tr>
    </w:tbl>
    <w:p>
      <w:pPr>
        <w:pStyle w:val="Normal"/>
        <w:widowControl/>
        <w:bidi w:val="0"/>
        <w:spacing w:lineRule="auto" w:line="276" w:before="0" w:after="200"/>
        <w:jc w:val="left"/>
        <w:rPr/>
      </w:pPr>
      <w:r>
        <w:rPr>
          <w:b/>
          <w:bCs/>
          <w:i w:val="false"/>
          <w:iCs w:val="false"/>
          <w:u w:val="none"/>
          <w:lang w:val="es-ES" w:eastAsia="en-US" w:bidi="ar-SA"/>
        </w:rPr>
        <w:t xml:space="preserve">a) </w:t>
      </w:r>
      <w:r>
        <w:rPr>
          <w:b w:val="false"/>
          <w:bCs w:val="false"/>
          <w:i w:val="false"/>
          <w:iCs w:val="false"/>
          <w:u w:val="none"/>
          <w:lang w:val="es-ES" w:eastAsia="en-US" w:bidi="ar-SA"/>
        </w:rPr>
        <w:t xml:space="preserve">La </w:t>
      </w:r>
      <w:r>
        <w:rPr>
          <w:b w:val="false"/>
          <w:bCs w:val="false"/>
          <w:i w:val="false"/>
          <w:iCs w:val="false"/>
          <w:u w:val="single"/>
          <w:lang w:val="es-ES" w:eastAsia="en-US" w:bidi="ar-SA"/>
        </w:rPr>
        <w:t>declaración responsable</w:t>
      </w:r>
      <w:r>
        <w:rPr>
          <w:b w:val="false"/>
          <w:bCs w:val="false"/>
          <w:i w:val="false"/>
          <w:iCs w:val="false"/>
          <w:u w:val="none"/>
          <w:lang w:val="es-ES" w:eastAsia="en-US" w:bidi="ar-SA"/>
        </w:rPr>
        <w:t>: Se cumplimentará de conformidad con lo indicado en la página 2 del presente anexo.</w:t>
      </w:r>
    </w:p>
    <w:p>
      <w:pPr>
        <w:pStyle w:val="Normal"/>
        <w:widowControl/>
        <w:bidi w:val="0"/>
        <w:spacing w:lineRule="auto" w:line="276" w:before="0" w:after="200"/>
        <w:jc w:val="left"/>
        <w:rPr>
          <w:b w:val="false"/>
          <w:b w:val="false"/>
          <w:bCs w:val="false"/>
          <w:i w:val="false"/>
          <w:i w:val="false"/>
          <w:iCs w:val="false"/>
          <w:u w:val="none"/>
          <w:lang w:val="es-ES" w:eastAsia="en-US" w:bidi="ar-SA"/>
        </w:rPr>
      </w:pPr>
      <w:r>
        <w:rPr>
          <w:b w:val="false"/>
          <w:bCs w:val="false"/>
          <w:i w:val="false"/>
          <w:iCs w:val="false"/>
          <w:u w:val="none"/>
          <w:lang w:val="es-ES" w:eastAsia="en-US" w:bidi="ar-SA"/>
        </w:rPr>
      </w:r>
    </w:p>
    <w:p>
      <w:pPr>
        <w:pStyle w:val="Normal"/>
        <w:widowControl/>
        <w:bidi w:val="0"/>
        <w:spacing w:lineRule="auto" w:line="276" w:before="0" w:after="200"/>
        <w:jc w:val="left"/>
        <w:rPr/>
      </w:pPr>
      <w:r>
        <w:rPr>
          <w:b/>
          <w:bCs/>
          <w:i w:val="false"/>
          <w:iCs w:val="false"/>
          <w:u w:val="none"/>
          <w:lang w:val="es-ES" w:eastAsia="en-US" w:bidi="ar-SA"/>
        </w:rPr>
        <w:t>b)</w:t>
      </w:r>
      <w:r>
        <w:rPr>
          <w:b w:val="false"/>
          <w:bCs w:val="false"/>
          <w:i w:val="false"/>
          <w:iCs w:val="false"/>
          <w:u w:val="none"/>
          <w:lang w:val="es-ES" w:eastAsia="en-US" w:bidi="ar-SA"/>
        </w:rPr>
        <w:t xml:space="preserve"> La </w:t>
      </w:r>
      <w:r>
        <w:rPr>
          <w:b w:val="false"/>
          <w:bCs w:val="false"/>
          <w:i w:val="false"/>
          <w:iCs w:val="false"/>
          <w:u w:val="single"/>
          <w:lang w:val="es-ES" w:eastAsia="en-US" w:bidi="ar-SA"/>
        </w:rPr>
        <w:t>copia del documento del fabricante que acredita como SAT oficial o autorizado</w:t>
      </w:r>
      <w:r>
        <w:rPr>
          <w:b w:val="false"/>
          <w:bCs w:val="false"/>
          <w:i w:val="false"/>
          <w:iCs w:val="false"/>
          <w:u w:val="none"/>
          <w:lang w:val="es-ES" w:eastAsia="en-US" w:bidi="ar-SA"/>
        </w:rPr>
        <w:t xml:space="preserve"> deberá aportar, al menos la siguiente información: </w:t>
      </w:r>
    </w:p>
    <w:p>
      <w:pPr>
        <w:pStyle w:val="Normal"/>
        <w:widowControl/>
        <w:numPr>
          <w:ilvl w:val="0"/>
          <w:numId w:val="2"/>
        </w:numPr>
        <w:bidi w:val="0"/>
        <w:spacing w:lineRule="auto" w:line="276" w:before="0" w:after="86"/>
        <w:jc w:val="left"/>
        <w:rPr/>
      </w:pPr>
      <w:r>
        <w:rPr>
          <w:b/>
          <w:bCs/>
          <w:i w:val="false"/>
          <w:iCs w:val="false"/>
          <w:u w:val="none"/>
          <w:lang w:val="es-ES" w:eastAsia="en-US" w:bidi="ar-SA"/>
        </w:rPr>
        <w:t>Empresa mantenedora:</w:t>
      </w:r>
      <w:r>
        <w:rPr>
          <w:b w:val="false"/>
          <w:bCs w:val="false"/>
          <w:i w:val="false"/>
          <w:iCs w:val="false"/>
          <w:u w:val="none"/>
          <w:lang w:val="es-ES" w:eastAsia="en-US" w:bidi="ar-SA"/>
        </w:rPr>
        <w:t xml:space="preserve"> se trata de la empresa que adquiere la condición de SAT oficial. </w:t>
      </w:r>
    </w:p>
    <w:p>
      <w:pPr>
        <w:pStyle w:val="Normal"/>
        <w:widowControl/>
        <w:numPr>
          <w:ilvl w:val="0"/>
          <w:numId w:val="2"/>
        </w:numPr>
        <w:bidi w:val="0"/>
        <w:spacing w:lineRule="auto" w:line="276" w:before="0" w:after="86"/>
        <w:jc w:val="left"/>
        <w:rPr/>
      </w:pPr>
      <w:r>
        <w:rPr>
          <w:b/>
          <w:bCs/>
          <w:i w:val="false"/>
          <w:iCs w:val="false"/>
          <w:u w:val="none"/>
          <w:lang w:val="es-ES" w:eastAsia="en-US" w:bidi="ar-SA"/>
        </w:rPr>
        <w:t>Fabricante</w:t>
      </w:r>
      <w:r>
        <w:rPr>
          <w:b w:val="false"/>
          <w:bCs w:val="false"/>
          <w:i w:val="false"/>
          <w:iCs w:val="false"/>
          <w:u w:val="none"/>
          <w:lang w:val="es-ES" w:eastAsia="en-US" w:bidi="ar-SA"/>
        </w:rPr>
        <w:t xml:space="preserve">: Se trata de la empresa fabricante en la que se acredita la condición de SAT oficial. </w:t>
      </w:r>
    </w:p>
    <w:p>
      <w:pPr>
        <w:pStyle w:val="Normal"/>
        <w:widowControl/>
        <w:numPr>
          <w:ilvl w:val="0"/>
          <w:numId w:val="2"/>
        </w:numPr>
        <w:bidi w:val="0"/>
        <w:spacing w:lineRule="auto" w:line="276" w:before="0" w:after="86"/>
        <w:jc w:val="left"/>
        <w:rPr/>
      </w:pPr>
      <w:r>
        <w:rPr>
          <w:b/>
          <w:bCs/>
          <w:i w:val="false"/>
          <w:iCs w:val="false"/>
          <w:u w:val="none"/>
          <w:lang w:val="es-ES" w:eastAsia="en-US" w:bidi="ar-SA"/>
        </w:rPr>
        <w:t>Alcance</w:t>
      </w:r>
      <w:r>
        <w:rPr>
          <w:b w:val="false"/>
          <w:bCs w:val="false"/>
          <w:i w:val="false"/>
          <w:iCs w:val="false"/>
          <w:u w:val="none"/>
          <w:lang w:val="es-ES" w:eastAsia="en-US" w:bidi="ar-SA"/>
        </w:rPr>
        <w:t xml:space="preserve">: debe incluir el ámbito de la asistencia técnica que corresponda (tipo de mantenimiento acreditado). </w:t>
      </w:r>
    </w:p>
    <w:p>
      <w:pPr>
        <w:pStyle w:val="Normal"/>
        <w:widowControl/>
        <w:numPr>
          <w:ilvl w:val="0"/>
          <w:numId w:val="2"/>
        </w:numPr>
        <w:bidi w:val="0"/>
        <w:spacing w:lineRule="auto" w:line="276" w:before="0" w:after="86"/>
        <w:jc w:val="left"/>
        <w:rPr/>
      </w:pPr>
      <w:r>
        <w:rPr>
          <w:b/>
          <w:bCs/>
          <w:i w:val="false"/>
          <w:iCs w:val="false"/>
          <w:u w:val="none"/>
          <w:lang w:val="es-ES" w:eastAsia="en-US" w:bidi="ar-SA"/>
        </w:rPr>
        <w:t>Vigencia</w:t>
      </w:r>
      <w:r>
        <w:rPr>
          <w:b w:val="false"/>
          <w:bCs w:val="false"/>
          <w:i w:val="false"/>
          <w:iCs w:val="false"/>
          <w:u w:val="none"/>
          <w:lang w:val="es-ES" w:eastAsia="en-US" w:bidi="ar-SA"/>
        </w:rPr>
        <w:t xml:space="preserve">: se trata de la duración de la relación o acuerdo de colaboración y deberá abarcar para ser aceptado al menos el plazo de duración del contrato y sus posibles prórrogas. </w:t>
      </w:r>
    </w:p>
    <w:p>
      <w:pPr>
        <w:pStyle w:val="Normal"/>
        <w:widowControl/>
        <w:numPr>
          <w:ilvl w:val="1"/>
          <w:numId w:val="2"/>
        </w:numPr>
        <w:bidi w:val="0"/>
        <w:spacing w:lineRule="auto" w:line="276" w:before="0" w:after="86"/>
        <w:jc w:val="left"/>
        <w:rPr/>
      </w:pPr>
      <w:r>
        <w:rPr>
          <w:b/>
          <w:bCs/>
          <w:i w:val="false"/>
          <w:iCs w:val="false"/>
          <w:u w:val="none"/>
          <w:lang w:val="es-ES" w:eastAsia="en-US" w:bidi="ar-SA"/>
        </w:rPr>
        <w:t>Valores posibles:</w:t>
      </w:r>
      <w:r>
        <w:rPr>
          <w:b w:val="false"/>
          <w:bCs w:val="false"/>
          <w:i w:val="false"/>
          <w:iCs w:val="false"/>
          <w:u w:val="none"/>
          <w:lang w:val="es-ES" w:eastAsia="en-US" w:bidi="ar-SA"/>
        </w:rPr>
        <w:t xml:space="preserve"> Fecha inicio y fecha fin de la relación como Servicio Técnico Oficial del fabricante. </w:t>
      </w:r>
    </w:p>
    <w:p>
      <w:pPr>
        <w:pStyle w:val="Normal"/>
        <w:widowControl/>
        <w:numPr>
          <w:ilvl w:val="0"/>
          <w:numId w:val="2"/>
        </w:numPr>
        <w:bidi w:val="0"/>
        <w:spacing w:lineRule="auto" w:line="276" w:before="0" w:after="86"/>
        <w:jc w:val="left"/>
        <w:rPr/>
      </w:pPr>
      <w:r>
        <w:rPr>
          <w:b/>
          <w:bCs/>
          <w:i w:val="false"/>
          <w:iCs w:val="false"/>
          <w:u w:val="none"/>
          <w:lang w:val="es-ES" w:eastAsia="en-US" w:bidi="ar-SA"/>
        </w:rPr>
        <w:t>El nombre o familia de equipo, marca y modelo</w:t>
      </w:r>
      <w:r>
        <w:rPr>
          <w:b w:val="false"/>
          <w:bCs w:val="false"/>
          <w:i w:val="false"/>
          <w:iCs w:val="false"/>
          <w:u w:val="none"/>
          <w:lang w:val="es-ES" w:eastAsia="en-US" w:bidi="ar-SA"/>
        </w:rPr>
        <w:t xml:space="preserve"> de los dispositivos médicos del lote al que se licita de los que se dispone de la condición de SAT oficial, con indicación de los siguientes campos (*): </w:t>
      </w:r>
    </w:p>
    <w:p>
      <w:pPr>
        <w:pStyle w:val="Normal"/>
        <w:widowControl/>
        <w:numPr>
          <w:ilvl w:val="1"/>
          <w:numId w:val="2"/>
        </w:numPr>
        <w:bidi w:val="0"/>
        <w:spacing w:lineRule="auto" w:line="276" w:before="0" w:after="86"/>
        <w:jc w:val="left"/>
        <w:rPr/>
      </w:pPr>
      <w:r>
        <w:rPr>
          <w:b/>
          <w:bCs/>
          <w:i w:val="false"/>
          <w:iCs w:val="false"/>
          <w:u w:val="none"/>
          <w:lang w:val="es-ES" w:eastAsia="en-US" w:bidi="ar-SA"/>
        </w:rPr>
        <w:t xml:space="preserve">Nombre / Marca / Modelo </w:t>
      </w:r>
    </w:p>
    <w:p>
      <w:pPr>
        <w:pStyle w:val="Normal"/>
        <w:widowControl/>
        <w:numPr>
          <w:ilvl w:val="0"/>
          <w:numId w:val="0"/>
        </w:numPr>
        <w:bidi w:val="0"/>
        <w:spacing w:lineRule="auto" w:line="276" w:before="0" w:after="86"/>
        <w:ind w:left="720" w:hanging="0"/>
        <w:jc w:val="left"/>
        <w:rPr/>
      </w:pPr>
      <w:r>
        <w:rPr>
          <w:b w:val="false"/>
          <w:bCs w:val="false"/>
          <w:i w:val="false"/>
          <w:iCs w:val="false"/>
          <w:u w:val="none"/>
          <w:lang w:val="es-ES" w:eastAsia="en-US" w:bidi="ar-SA"/>
        </w:rPr>
        <w:t xml:space="preserve">(*) El documento en el que el fabricante acredite a la empresa como SAT oficial o autorizado debe acreditar fehacientemente que incluye los equipos del lote al que se licita. </w:t>
      </w:r>
    </w:p>
    <w:p>
      <w:pPr>
        <w:pStyle w:val="Normal"/>
        <w:widowControl/>
        <w:bidi w:val="0"/>
        <w:spacing w:lineRule="auto" w:line="276" w:before="0" w:after="86"/>
        <w:jc w:val="left"/>
        <w:rPr>
          <w:b w:val="false"/>
          <w:b w:val="false"/>
          <w:bCs w:val="false"/>
          <w:i w:val="false"/>
          <w:i w:val="false"/>
          <w:iCs w:val="false"/>
          <w:u w:val="none"/>
          <w:lang w:val="es-ES" w:eastAsia="en-US" w:bidi="ar-SA"/>
        </w:rPr>
      </w:pPr>
      <w:r>
        <w:rPr>
          <w:b w:val="false"/>
          <w:bCs w:val="false"/>
          <w:i w:val="false"/>
          <w:iCs w:val="false"/>
          <w:u w:val="none"/>
          <w:lang w:val="es-ES" w:eastAsia="en-US" w:bidi="ar-SA"/>
        </w:rPr>
      </w:r>
    </w:p>
    <w:p>
      <w:pPr>
        <w:pStyle w:val="Normal"/>
        <w:widowControl/>
        <w:bidi w:val="0"/>
        <w:spacing w:lineRule="auto" w:line="276" w:before="0" w:after="86"/>
        <w:jc w:val="left"/>
        <w:rPr/>
      </w:pPr>
      <w:r>
        <w:rPr>
          <w:b/>
          <w:bCs/>
          <w:i w:val="false"/>
          <w:iCs w:val="false"/>
          <w:u w:val="none"/>
          <w:lang w:val="es-ES" w:eastAsia="en-US" w:bidi="ar-SA"/>
        </w:rPr>
        <w:t xml:space="preserve">c) </w:t>
      </w:r>
      <w:r>
        <w:rPr>
          <w:b w:val="false"/>
          <w:bCs w:val="false"/>
          <w:i w:val="false"/>
          <w:iCs w:val="false"/>
          <w:u w:val="none"/>
          <w:lang w:val="es-ES" w:eastAsia="en-US" w:bidi="ar-SA"/>
        </w:rPr>
        <w:t>La copia del acuerdo de colaboración deberá aportar, al menos, la siguiente información:</w:t>
      </w:r>
    </w:p>
    <w:p>
      <w:pPr>
        <w:pStyle w:val="Normal"/>
        <w:widowControl/>
        <w:bidi w:val="0"/>
        <w:spacing w:lineRule="auto" w:line="276" w:before="0" w:after="86"/>
        <w:jc w:val="left"/>
        <w:rPr/>
      </w:pPr>
      <w:r>
        <w:rPr>
          <w:b w:val="false"/>
          <w:bCs w:val="false"/>
          <w:i w:val="false"/>
          <w:iCs w:val="false"/>
          <w:u w:val="none"/>
          <w:lang w:val="es-ES" w:eastAsia="en-US" w:bidi="ar-SA"/>
        </w:rPr>
        <w:t>La empresa propuesta para suscribir el contrato deberá aportar copia de todos los acuerdos de colaboración a los que hace referencia dicha declaración del ANEXO XVII y/o ANEXO XVIII con las empresas fabricantes, SAT oficial o autorizado, o empresa que posea técnicos debidamente cualificados o acreditados, en los que aparezca la fecha y la firma del responsable competente de la empresa fabricante, SAT oficial o autorizado, o empresa que posee técnicos debidamente cualificados o acreditados, además de especificar en el mismo:</w:t>
      </w:r>
    </w:p>
    <w:p>
      <w:pPr>
        <w:pStyle w:val="Normal"/>
        <w:widowControl/>
        <w:numPr>
          <w:ilvl w:val="0"/>
          <w:numId w:val="1"/>
        </w:numPr>
        <w:bidi w:val="0"/>
        <w:spacing w:lineRule="auto" w:line="276" w:before="0" w:after="86"/>
        <w:jc w:val="left"/>
        <w:rPr/>
      </w:pPr>
      <w:r>
        <w:rPr>
          <w:b/>
          <w:bCs/>
          <w:i w:val="false"/>
          <w:iCs w:val="false"/>
          <w:u w:val="none"/>
          <w:lang w:val="es-ES" w:eastAsia="en-US" w:bidi="ar-SA"/>
        </w:rPr>
        <w:t>Empresa mantenedora:</w:t>
      </w:r>
      <w:r>
        <w:rPr>
          <w:b w:val="false"/>
          <w:bCs w:val="false"/>
          <w:i w:val="false"/>
          <w:iCs w:val="false"/>
          <w:u w:val="none"/>
          <w:lang w:val="es-ES" w:eastAsia="en-US" w:bidi="ar-SA"/>
        </w:rPr>
        <w:t xml:space="preserve"> </w:t>
      </w:r>
    </w:p>
    <w:p>
      <w:pPr>
        <w:pStyle w:val="Normal"/>
        <w:widowControl/>
        <w:numPr>
          <w:ilvl w:val="1"/>
          <w:numId w:val="1"/>
        </w:numPr>
        <w:bidi w:val="0"/>
        <w:spacing w:lineRule="auto" w:line="276" w:before="0" w:after="86"/>
        <w:jc w:val="left"/>
        <w:rPr/>
      </w:pPr>
      <w:r>
        <w:rPr>
          <w:b w:val="false"/>
          <w:bCs w:val="false"/>
          <w:i w:val="false"/>
          <w:iCs w:val="false"/>
          <w:u w:val="none"/>
          <w:lang w:val="es-ES" w:eastAsia="en-US" w:bidi="ar-SA"/>
        </w:rPr>
        <w:t>Valores posibles:</w:t>
      </w:r>
    </w:p>
    <w:p>
      <w:pPr>
        <w:pStyle w:val="Normal"/>
        <w:widowControl/>
        <w:numPr>
          <w:ilvl w:val="2"/>
          <w:numId w:val="1"/>
        </w:numPr>
        <w:bidi w:val="0"/>
        <w:spacing w:lineRule="auto" w:line="276" w:before="0" w:after="86"/>
        <w:jc w:val="left"/>
        <w:rPr/>
      </w:pPr>
      <w:r>
        <w:rPr>
          <w:b/>
          <w:bCs/>
          <w:i w:val="false"/>
          <w:iCs w:val="false"/>
          <w:u w:val="none"/>
          <w:lang w:val="es-ES" w:eastAsia="en-US" w:bidi="ar-SA"/>
        </w:rPr>
        <w:t>Fabricante</w:t>
      </w:r>
      <w:r>
        <w:rPr>
          <w:b w:val="false"/>
          <w:bCs w:val="false"/>
          <w:i w:val="false"/>
          <w:iCs w:val="false"/>
          <w:u w:val="none"/>
          <w:lang w:val="es-ES" w:eastAsia="en-US" w:bidi="ar-SA"/>
        </w:rPr>
        <w:t xml:space="preserve"> (caso 3)</w:t>
      </w:r>
    </w:p>
    <w:p>
      <w:pPr>
        <w:pStyle w:val="Normal"/>
        <w:widowControl/>
        <w:numPr>
          <w:ilvl w:val="2"/>
          <w:numId w:val="1"/>
        </w:numPr>
        <w:bidi w:val="0"/>
        <w:spacing w:lineRule="auto" w:line="276" w:before="0" w:after="86"/>
        <w:jc w:val="left"/>
        <w:rPr/>
      </w:pPr>
      <w:r>
        <w:rPr>
          <w:b/>
          <w:bCs/>
          <w:i w:val="false"/>
          <w:iCs w:val="false"/>
          <w:u w:val="none"/>
          <w:lang w:val="es-ES" w:eastAsia="en-US" w:bidi="ar-SA"/>
        </w:rPr>
        <w:t>SAT oficial o autorizado</w:t>
      </w:r>
      <w:r>
        <w:rPr>
          <w:b w:val="false"/>
          <w:bCs w:val="false"/>
          <w:i w:val="false"/>
          <w:iCs w:val="false"/>
          <w:u w:val="none"/>
          <w:lang w:val="es-ES" w:eastAsia="en-US" w:bidi="ar-SA"/>
        </w:rPr>
        <w:t xml:space="preserve"> (caso 4)</w:t>
      </w:r>
      <w:r>
        <w:rPr>
          <w:lang w:val="es-ES" w:eastAsia="en-US" w:bidi="ar-SA"/>
        </w:rPr>
        <w:t xml:space="preserve">, en este caso el licitador propuesto para suscribir el contrato </w:t>
      </w:r>
      <w:r>
        <w:rPr>
          <w:b/>
          <w:bCs/>
          <w:lang w:val="es-ES" w:eastAsia="en-US" w:bidi="ar-SA"/>
        </w:rPr>
        <w:t>deberá aportar otro documento en el que el fabricante acredite a la empresa con la que el licitador ha alcanzado el acuerdo como SAT oficial o autorizado</w:t>
      </w:r>
      <w:r>
        <w:rPr>
          <w:lang w:val="es-ES" w:eastAsia="en-US" w:bidi="ar-SA"/>
        </w:rPr>
        <w:t xml:space="preserve"> en el que se acredite fehacientemente que incluye los equipos del lote al que se licita para los cuáles se alcanza el acuerdo, donde aparezca la duración de la relación como SAT oficial que deberá abarcar el plazo de duración del contrato y sus posibles prórrogas.</w:t>
      </w:r>
    </w:p>
    <w:p>
      <w:pPr>
        <w:pStyle w:val="Normal"/>
        <w:widowControl/>
        <w:numPr>
          <w:ilvl w:val="2"/>
          <w:numId w:val="1"/>
        </w:numPr>
        <w:bidi w:val="0"/>
        <w:spacing w:lineRule="auto" w:line="276" w:before="0" w:after="86"/>
        <w:jc w:val="left"/>
        <w:rPr/>
      </w:pPr>
      <w:r>
        <w:rPr>
          <w:b/>
          <w:bCs/>
          <w:i w:val="false"/>
          <w:iCs w:val="false"/>
          <w:u w:val="none"/>
          <w:lang w:val="es-ES" w:eastAsia="en-US" w:bidi="ar-SA"/>
        </w:rPr>
        <w:t>Otra empresa mantenedora</w:t>
      </w:r>
      <w:r>
        <w:rPr>
          <w:b w:val="false"/>
          <w:bCs w:val="false"/>
          <w:i w:val="false"/>
          <w:iCs w:val="false"/>
          <w:u w:val="none"/>
          <w:lang w:val="es-ES" w:eastAsia="en-US" w:bidi="ar-SA"/>
        </w:rPr>
        <w:t xml:space="preserve"> diferente a las anteriores (caso 5)</w:t>
      </w:r>
      <w:r>
        <w:rPr>
          <w:lang w:val="es-ES" w:eastAsia="en-US" w:bidi="ar-SA"/>
        </w:rPr>
        <w:t xml:space="preserve">, en este caso el licitador propuesto para suscribir el contrato </w:t>
      </w:r>
      <w:r>
        <w:rPr>
          <w:b/>
          <w:bCs/>
          <w:lang w:val="es-ES" w:eastAsia="en-US" w:bidi="ar-SA"/>
        </w:rPr>
        <w:t>deberá aportar otro documento que acredite que la empresa mantenedora posee técnicos debidamente cualificados o acreditados según RD 192/2023</w:t>
      </w:r>
      <w:r>
        <w:rPr>
          <w:lang w:val="es-ES" w:eastAsia="en-US" w:bidi="ar-SA"/>
        </w:rPr>
        <w:t xml:space="preserve"> en el que se acredite fehacientemente que está cualificada o acredita para el mantenimiento de los equipos del lote al que se licita para los cuáles se alcanza el acuerdo.</w:t>
      </w:r>
    </w:p>
    <w:p>
      <w:pPr>
        <w:pStyle w:val="Normal"/>
        <w:widowControl/>
        <w:numPr>
          <w:ilvl w:val="0"/>
          <w:numId w:val="1"/>
        </w:numPr>
        <w:bidi w:val="0"/>
        <w:spacing w:lineRule="auto" w:line="276" w:before="0" w:after="86"/>
        <w:jc w:val="left"/>
        <w:rPr/>
      </w:pPr>
      <w:r>
        <w:rPr>
          <w:b/>
          <w:bCs/>
          <w:lang w:val="es-ES" w:eastAsia="en-US" w:bidi="ar-SA"/>
        </w:rPr>
        <w:t>Alcance</w:t>
      </w:r>
      <w:r>
        <w:rPr>
          <w:lang w:val="es-ES" w:eastAsia="en-US" w:bidi="ar-SA"/>
        </w:rPr>
        <w:t xml:space="preserve">: debe incluir el ámbito de la asistencia técnica que corresponda (tipo de mantenimiento acreditado). </w:t>
      </w:r>
    </w:p>
    <w:p>
      <w:pPr>
        <w:pStyle w:val="Normal"/>
        <w:widowControl/>
        <w:numPr>
          <w:ilvl w:val="0"/>
          <w:numId w:val="1"/>
        </w:numPr>
        <w:bidi w:val="0"/>
        <w:spacing w:lineRule="auto" w:line="276" w:before="0" w:after="86"/>
        <w:jc w:val="left"/>
        <w:rPr/>
      </w:pPr>
      <w:r>
        <w:rPr>
          <w:b/>
          <w:bCs/>
          <w:i w:val="false"/>
          <w:iCs w:val="false"/>
          <w:u w:val="none"/>
          <w:lang w:val="es-ES" w:eastAsia="en-US" w:bidi="ar-SA"/>
        </w:rPr>
        <w:t>Vigencia</w:t>
      </w:r>
      <w:r>
        <w:rPr>
          <w:b w:val="false"/>
          <w:bCs w:val="false"/>
          <w:i w:val="false"/>
          <w:iCs w:val="false"/>
          <w:u w:val="none"/>
          <w:lang w:val="es-ES" w:eastAsia="en-US" w:bidi="ar-SA"/>
        </w:rPr>
        <w:t xml:space="preserve">: se trata de la duración de la relación y deberá abarcar para ser </w:t>
      </w:r>
      <w:r>
        <w:rPr>
          <w:lang w:val="es-ES" w:eastAsia="en-US" w:bidi="ar-SA"/>
        </w:rPr>
        <w:t xml:space="preserve">admisible al menos el plazo de duración del contrato y sus posibles prórrogas. </w:t>
      </w:r>
    </w:p>
    <w:p>
      <w:pPr>
        <w:pStyle w:val="Normal"/>
        <w:widowControl/>
        <w:numPr>
          <w:ilvl w:val="0"/>
          <w:numId w:val="1"/>
        </w:numPr>
        <w:bidi w:val="0"/>
        <w:spacing w:lineRule="auto" w:line="276" w:before="0" w:after="86"/>
        <w:jc w:val="left"/>
        <w:rPr/>
      </w:pPr>
      <w:r>
        <w:rPr>
          <w:b/>
          <w:bCs/>
          <w:i w:val="false"/>
          <w:iCs w:val="false"/>
          <w:u w:val="none"/>
          <w:lang w:val="es-ES" w:eastAsia="en-US" w:bidi="ar-SA"/>
        </w:rPr>
        <w:t>El nombre o familia de equipo, marca y modelo</w:t>
      </w:r>
      <w:r>
        <w:rPr>
          <w:b w:val="false"/>
          <w:bCs w:val="false"/>
          <w:i w:val="false"/>
          <w:iCs w:val="false"/>
          <w:u w:val="none"/>
          <w:lang w:val="es-ES" w:eastAsia="en-US" w:bidi="ar-SA"/>
        </w:rPr>
        <w:t xml:space="preserve"> de los dispositivos médicos del lote al que se licita con indicación de los siguientes campos: </w:t>
      </w:r>
    </w:p>
    <w:p>
      <w:pPr>
        <w:pStyle w:val="Normal"/>
        <w:widowControl/>
        <w:numPr>
          <w:ilvl w:val="1"/>
          <w:numId w:val="1"/>
        </w:numPr>
        <w:bidi w:val="0"/>
        <w:spacing w:lineRule="auto" w:line="276" w:before="0" w:after="86"/>
        <w:jc w:val="left"/>
        <w:rPr/>
      </w:pPr>
      <w:r>
        <w:rPr>
          <w:b/>
          <w:bCs/>
          <w:i w:val="false"/>
          <w:iCs w:val="false"/>
          <w:u w:val="none"/>
          <w:lang w:val="es-ES" w:eastAsia="en-US" w:bidi="ar-SA"/>
        </w:rPr>
        <w:t>Nombre / Marca / Modelo / N.º de serie / Codificación corporativa del dispositivo médico (Código Mansis)</w:t>
      </w:r>
    </w:p>
    <w:sectPr>
      <w:headerReference w:type="default" r:id="rId3"/>
      <w:type w:val="nextPage"/>
      <w:pgSz w:orient="landscape" w:w="16838" w:h="11906"/>
      <w:pgMar w:left="1134" w:right="1134" w:header="1134" w:top="1736"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Noto Sans HK">
    <w:charset w:val="00"/>
    <w:family w:val="roman"/>
    <w:pitch w:val="variable"/>
  </w:font>
  <w:font w:name="Liberation Sans">
    <w:altName w:val="Arial"/>
    <w:charset w:val="00"/>
    <w:family w:val="roman"/>
    <w:pitch w:val="variable"/>
  </w:font>
  <w:font w:name="Source Sans Pro Semibold">
    <w:charset w:val="00"/>
    <w:family w:val="roman"/>
    <w:pitch w:val="variable"/>
  </w:font>
  <w:font w:name="Source Sans Pro">
    <w:charset w:val="00"/>
    <w:family w:val="roman"/>
    <w:pitch w:val="variable"/>
  </w:font>
  <w:font w:name="OpenSymbol">
    <w:altName w:val="Arial Unicode MS"/>
    <w:charset w:val="01"/>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mc:AlternateContent>
        <mc:Choice Requires="wps">
          <w:drawing>
            <wp:anchor behindDoc="1" distT="0" distB="0" distL="0" distR="0" simplePos="0" locked="0" layoutInCell="1" allowOverlap="1" relativeHeight="6">
              <wp:simplePos x="0" y="0"/>
              <wp:positionH relativeFrom="column">
                <wp:posOffset>7088505</wp:posOffset>
              </wp:positionH>
              <wp:positionV relativeFrom="paragraph">
                <wp:posOffset>-515620</wp:posOffset>
              </wp:positionV>
              <wp:extent cx="1922145" cy="791845"/>
              <wp:effectExtent l="0" t="0" r="0" b="0"/>
              <wp:wrapNone/>
              <wp:docPr id="2" name="Marco1"/>
              <a:graphic xmlns:a="http://schemas.openxmlformats.org/drawingml/2006/main">
                <a:graphicData uri="http://schemas.microsoft.com/office/word/2010/wordprocessingShape">
                  <wps:wsp>
                    <wps:cNvSpPr/>
                    <wps:spPr>
                      <a:xfrm>
                        <a:off x="0" y="0"/>
                        <a:ext cx="1921680" cy="791280"/>
                      </a:xfrm>
                      <a:prstGeom prst="rect">
                        <a:avLst/>
                      </a:prstGeom>
                      <a:noFill/>
                      <a:ln>
                        <a:noFill/>
                      </a:ln>
                    </wps:spPr>
                    <wps:style>
                      <a:lnRef idx="0"/>
                      <a:fillRef idx="0"/>
                      <a:effectRef idx="0"/>
                      <a:fontRef idx="minor"/>
                    </wps:style>
                    <wps:txbx>
                      <w:txbxContent>
                        <w:p>
                          <w:pPr>
                            <w:pStyle w:val="CabeceraConsejera"/>
                            <w:rPr/>
                          </w:pPr>
                          <w:r>
                            <w:rPr/>
                          </w:r>
                        </w:p>
                        <w:p>
                          <w:pPr>
                            <w:pStyle w:val="CabeceraCentrodirectivo"/>
                            <w:rPr>
                              <w:b/>
                              <w:b/>
                              <w:bCs/>
                              <w:i/>
                              <w:i/>
                              <w:iCs/>
                            </w:rPr>
                          </w:pPr>
                          <w:r>
                            <w:rPr>
                              <w:b/>
                              <w:bCs/>
                              <w:i/>
                              <w:iCs/>
                            </w:rPr>
                            <w:t xml:space="preserve">Servicio Andaluz de Salud </w:t>
                          </w:r>
                        </w:p>
                        <w:p>
                          <w:pPr>
                            <w:pStyle w:val="CabeceraCentrodirectivo"/>
                            <w:widowControl/>
                            <w:bidi w:val="0"/>
                            <w:jc w:val="left"/>
                            <w:rPr>
                              <w:i/>
                              <w:i/>
                              <w:iCs/>
                              <w:color w:val="auto"/>
                            </w:rPr>
                          </w:pPr>
                          <w:r>
                            <w:rPr>
                              <w:i/>
                              <w:iCs/>
                              <w:color w:val="auto"/>
                            </w:rPr>
                            <w:t>Central Provincial de Compras de Cádiz</w:t>
                          </w:r>
                        </w:p>
                        <w:p>
                          <w:pPr>
                            <w:pStyle w:val="CabeceraCentrodirectivo"/>
                            <w:rPr/>
                          </w:pPr>
                          <w:r>
                            <w:rPr/>
                          </w:r>
                        </w:p>
                      </w:txbxContent>
                    </wps:txbx>
                    <wps:bodyPr lIns="4320" rIns="4320" tIns="4320" bIns="4320">
                      <a:noAutofit/>
                    </wps:bodyPr>
                  </wps:wsp>
                </a:graphicData>
              </a:graphic>
            </wp:anchor>
          </w:drawing>
        </mc:Choice>
        <mc:Fallback>
          <w:pict>
            <v:rect id="shape_0" ID="Marco1" stroked="f" style="position:absolute;margin-left:558.15pt;margin-top:-40.6pt;width:151.25pt;height:62.25pt">
              <w10:wrap type="square"/>
              <v:fill o:detectmouseclick="t" on="false"/>
              <v:stroke color="#3465a4" joinstyle="round" endcap="flat"/>
              <v:textbox>
                <w:txbxContent>
                  <w:p>
                    <w:pPr>
                      <w:pStyle w:val="CabeceraConsejera"/>
                      <w:rPr/>
                    </w:pPr>
                    <w:r>
                      <w:rPr/>
                    </w:r>
                  </w:p>
                  <w:p>
                    <w:pPr>
                      <w:pStyle w:val="CabeceraCentrodirectivo"/>
                      <w:rPr>
                        <w:b/>
                        <w:b/>
                        <w:bCs/>
                        <w:i/>
                        <w:i/>
                        <w:iCs/>
                      </w:rPr>
                    </w:pPr>
                    <w:r>
                      <w:rPr>
                        <w:b/>
                        <w:bCs/>
                        <w:i/>
                        <w:iCs/>
                      </w:rPr>
                      <w:t xml:space="preserve">Servicio Andaluz de Salud </w:t>
                    </w:r>
                  </w:p>
                  <w:p>
                    <w:pPr>
                      <w:pStyle w:val="CabeceraCentrodirectivo"/>
                      <w:widowControl/>
                      <w:bidi w:val="0"/>
                      <w:jc w:val="left"/>
                      <w:rPr>
                        <w:i/>
                        <w:i/>
                        <w:iCs/>
                        <w:color w:val="auto"/>
                      </w:rPr>
                    </w:pPr>
                    <w:r>
                      <w:rPr>
                        <w:i/>
                        <w:iCs/>
                        <w:color w:val="auto"/>
                      </w:rPr>
                      <w:t>Central Provincial de Compras de Cádiz</w:t>
                    </w:r>
                  </w:p>
                  <w:p>
                    <w:pPr>
                      <w:pStyle w:val="CabeceraCentrodirectivo"/>
                      <w:rPr/>
                    </w:pPr>
                    <w:r>
                      <w:rPr/>
                    </w:r>
                  </w:p>
                </w:txbxContent>
              </v:textbox>
            </v:rect>
          </w:pict>
        </mc:Fallback>
      </mc:AlternateContent>
      <w:drawing>
        <wp:anchor behindDoc="1" distT="0" distB="0" distL="0" distR="0" simplePos="0" locked="0" layoutInCell="1" allowOverlap="1" relativeHeight="10">
          <wp:simplePos x="0" y="0"/>
          <wp:positionH relativeFrom="column">
            <wp:posOffset>219710</wp:posOffset>
          </wp:positionH>
          <wp:positionV relativeFrom="paragraph">
            <wp:posOffset>-641985</wp:posOffset>
          </wp:positionV>
          <wp:extent cx="1306830" cy="917575"/>
          <wp:effectExtent l="0" t="0" r="0" b="0"/>
          <wp:wrapSquare wrapText="largest"/>
          <wp:docPr id="4" name="Imagen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2" descr=""/>
                  <pic:cNvPicPr>
                    <a:picLocks noChangeAspect="1" noChangeArrowheads="1"/>
                  </pic:cNvPicPr>
                </pic:nvPicPr>
                <pic:blipFill>
                  <a:blip r:embed="rId1"/>
                  <a:srcRect l="-38" t="-43" r="-38" b="-43"/>
                  <a:stretch>
                    <a:fillRect/>
                  </a:stretch>
                </pic:blipFill>
                <pic:spPr bwMode="auto">
                  <a:xfrm>
                    <a:off x="0" y="0"/>
                    <a:ext cx="1306830" cy="91757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Unicode MS"/>
        <w:kern w:val="2"/>
        <w:sz w:val="24"/>
        <w:szCs w:val="24"/>
        <w:lang w:val="es-ES" w:eastAsia="zh-CN" w:bidi="hi-IN"/>
      </w:rPr>
    </w:rPrDefault>
    <w:pPrDefault>
      <w:pPr/>
    </w:pPrDefault>
  </w:docDefaults>
  <w:style w:type="paragraph" w:styleId="Normal">
    <w:name w:val="Normal"/>
    <w:qFormat/>
    <w:pPr>
      <w:widowControl/>
      <w:bidi w:val="0"/>
      <w:jc w:val="left"/>
    </w:pPr>
    <w:rPr>
      <w:rFonts w:ascii="Noto Sans HK" w:hAnsi="Noto Sans HK" w:eastAsia="SimSun" w:cs="Arial Unicode MS"/>
      <w:color w:val="auto"/>
      <w:kern w:val="2"/>
      <w:sz w:val="22"/>
      <w:szCs w:val="22"/>
      <w:lang w:val="es-ES" w:eastAsia="zh-CN" w:bidi="hi-IN"/>
    </w:rPr>
  </w:style>
  <w:style w:type="character" w:styleId="ListLabel1">
    <w:name w:val="ListLabel 1"/>
    <w:qFormat/>
    <w:rPr>
      <w:rFonts w:cs="Symbol"/>
    </w:rPr>
  </w:style>
  <w:style w:type="character" w:styleId="ListLabel2">
    <w:name w:val="ListLabel 2"/>
    <w:qFormat/>
    <w:rPr>
      <w:rFonts w:cs="OpenSymbol"/>
    </w:rPr>
  </w:style>
  <w:style w:type="character" w:styleId="ListLabel3">
    <w:name w:val="ListLabel 3"/>
    <w:qFormat/>
    <w:rPr>
      <w:rFonts w:cs="OpenSymbol"/>
    </w:rPr>
  </w:style>
  <w:style w:type="character" w:styleId="ListLabel4">
    <w:name w:val="ListLabel 4"/>
    <w:qFormat/>
    <w:rPr>
      <w:rFonts w:cs="Symbol"/>
    </w:rPr>
  </w:style>
  <w:style w:type="character" w:styleId="ListLabel5">
    <w:name w:val="ListLabel 5"/>
    <w:qFormat/>
    <w:rPr>
      <w:rFonts w:cs="OpenSymbol"/>
    </w:rPr>
  </w:style>
  <w:style w:type="character" w:styleId="ListLabel6">
    <w:name w:val="ListLabel 6"/>
    <w:qFormat/>
    <w:rPr>
      <w:rFonts w:cs="OpenSymbol"/>
    </w:rPr>
  </w:style>
  <w:style w:type="character" w:styleId="ListLabel7">
    <w:name w:val="ListLabel 7"/>
    <w:qFormat/>
    <w:rPr>
      <w:rFonts w:cs="Symbol"/>
    </w:rPr>
  </w:style>
  <w:style w:type="character" w:styleId="ListLabel8">
    <w:name w:val="ListLabel 8"/>
    <w:qFormat/>
    <w:rPr>
      <w:rFonts w:cs="OpenSymbol"/>
    </w:rPr>
  </w:style>
  <w:style w:type="character" w:styleId="ListLabel9">
    <w:name w:val="ListLabel 9"/>
    <w:qFormat/>
    <w:rPr>
      <w:rFonts w:cs="OpenSymbol"/>
    </w:rPr>
  </w:style>
  <w:style w:type="character" w:styleId="ListLabel10">
    <w:name w:val="ListLabel 10"/>
    <w:qFormat/>
    <w:rPr>
      <w:rFonts w:cs="Symbol"/>
    </w:rPr>
  </w:style>
  <w:style w:type="character" w:styleId="ListLabel11">
    <w:name w:val="ListLabel 11"/>
    <w:qFormat/>
    <w:rPr>
      <w:rFonts w:cs="OpenSymbol"/>
    </w:rPr>
  </w:style>
  <w:style w:type="character" w:styleId="ListLabel12">
    <w:name w:val="ListLabel 12"/>
    <w:qFormat/>
    <w:rPr>
      <w:rFonts w:cs="OpenSymbol"/>
    </w:rPr>
  </w:style>
  <w:style w:type="character" w:styleId="ListLabel13">
    <w:name w:val="ListLabel 13"/>
    <w:qFormat/>
    <w:rPr>
      <w:rFonts w:cs="Symbol"/>
    </w:rPr>
  </w:style>
  <w:style w:type="character" w:styleId="ListLabel14">
    <w:name w:val="ListLabel 14"/>
    <w:qFormat/>
    <w:rPr>
      <w:rFonts w:cs="OpenSymbol"/>
    </w:rPr>
  </w:style>
  <w:style w:type="character" w:styleId="ListLabel15">
    <w:name w:val="ListLabel 15"/>
    <w:qFormat/>
    <w:rPr>
      <w:rFonts w:cs="OpenSymbol"/>
    </w:rPr>
  </w:style>
  <w:style w:type="character" w:styleId="ListLabel16">
    <w:name w:val="ListLabel 16"/>
    <w:qFormat/>
    <w:rPr>
      <w:rFonts w:cs="Symbol"/>
    </w:rPr>
  </w:style>
  <w:style w:type="character" w:styleId="ListLabel17">
    <w:name w:val="ListLabel 17"/>
    <w:qFormat/>
    <w:rPr>
      <w:rFonts w:cs="OpenSymbol"/>
    </w:rPr>
  </w:style>
  <w:style w:type="character" w:styleId="ListLabel18">
    <w:name w:val="ListLabel 18"/>
    <w:qFormat/>
    <w:rPr>
      <w:rFonts w:cs="OpenSymbol"/>
    </w:rPr>
  </w:style>
  <w:style w:type="character" w:styleId="ListLabel19">
    <w:name w:val="ListLabel 19"/>
    <w:qFormat/>
    <w:rPr>
      <w:rFonts w:cs="Symbol"/>
    </w:rPr>
  </w:style>
  <w:style w:type="character" w:styleId="ListLabel20">
    <w:name w:val="ListLabel 20"/>
    <w:qFormat/>
    <w:rPr>
      <w:rFonts w:cs="OpenSymbol"/>
    </w:rPr>
  </w:style>
  <w:style w:type="character" w:styleId="ListLabel21">
    <w:name w:val="ListLabel 21"/>
    <w:qFormat/>
    <w:rPr>
      <w:rFonts w:cs="OpenSymbol"/>
    </w:rPr>
  </w:style>
  <w:style w:type="character" w:styleId="ListLabel22">
    <w:name w:val="ListLabel 22"/>
    <w:qFormat/>
    <w:rPr>
      <w:rFonts w:cs="Symbol"/>
    </w:rPr>
  </w:style>
  <w:style w:type="character" w:styleId="ListLabel23">
    <w:name w:val="ListLabel 23"/>
    <w:qFormat/>
    <w:rPr>
      <w:rFonts w:cs="OpenSymbol"/>
    </w:rPr>
  </w:style>
  <w:style w:type="character" w:styleId="ListLabel24">
    <w:name w:val="ListLabel 24"/>
    <w:qFormat/>
    <w:rPr>
      <w:rFonts w:cs="OpenSymbol"/>
    </w:rPr>
  </w:style>
  <w:style w:type="character" w:styleId="ListLabel25">
    <w:name w:val="ListLabel 25"/>
    <w:qFormat/>
    <w:rPr>
      <w:rFonts w:cs="Symbol"/>
    </w:rPr>
  </w:style>
  <w:style w:type="character" w:styleId="ListLabel26">
    <w:name w:val="ListLabel 26"/>
    <w:qFormat/>
    <w:rPr>
      <w:rFonts w:cs="OpenSymbol"/>
    </w:rPr>
  </w:style>
  <w:style w:type="character" w:styleId="ListLabel27">
    <w:name w:val="ListLabel 27"/>
    <w:qFormat/>
    <w:rPr>
      <w:rFonts w:cs="OpenSymbol"/>
    </w:rPr>
  </w:style>
  <w:style w:type="character" w:styleId="ListLabel28">
    <w:name w:val="ListLabel 28"/>
    <w:qFormat/>
    <w:rPr>
      <w:rFonts w:cs="Symbol"/>
    </w:rPr>
  </w:style>
  <w:style w:type="character" w:styleId="ListLabel29">
    <w:name w:val="ListLabel 29"/>
    <w:qFormat/>
    <w:rPr>
      <w:rFonts w:cs="OpenSymbol"/>
    </w:rPr>
  </w:style>
  <w:style w:type="character" w:styleId="ListLabel30">
    <w:name w:val="ListLabel 30"/>
    <w:qFormat/>
    <w:rPr>
      <w:rFonts w:cs="OpenSymbol"/>
    </w:rPr>
  </w:style>
  <w:style w:type="character" w:styleId="ListLabel31">
    <w:name w:val="ListLabel 31"/>
    <w:qFormat/>
    <w:rPr>
      <w:rFonts w:cs="Symbol"/>
    </w:rPr>
  </w:style>
  <w:style w:type="character" w:styleId="ListLabel32">
    <w:name w:val="ListLabel 32"/>
    <w:qFormat/>
    <w:rPr>
      <w:rFonts w:cs="OpenSymbol"/>
    </w:rPr>
  </w:style>
  <w:style w:type="character" w:styleId="ListLabel33">
    <w:name w:val="ListLabel 33"/>
    <w:qFormat/>
    <w:rPr>
      <w:rFonts w:cs="OpenSymbol"/>
    </w:rPr>
  </w:style>
  <w:style w:type="character" w:styleId="ListLabel34">
    <w:name w:val="ListLabel 34"/>
    <w:qFormat/>
    <w:rPr>
      <w:rFonts w:cs="Symbol"/>
    </w:rPr>
  </w:style>
  <w:style w:type="character" w:styleId="ListLabel35">
    <w:name w:val="ListLabel 35"/>
    <w:qFormat/>
    <w:rPr>
      <w:rFonts w:cs="OpenSymbol"/>
    </w:rPr>
  </w:style>
  <w:style w:type="character" w:styleId="ListLabel36">
    <w:name w:val="ListLabel 36"/>
    <w:qFormat/>
    <w:rPr>
      <w:rFonts w:cs="OpenSymbol"/>
    </w:rPr>
  </w:style>
  <w:style w:type="character" w:styleId="ListLabel37">
    <w:name w:val="ListLabel 37"/>
    <w:qFormat/>
    <w:rPr>
      <w:rFonts w:cs="Symbol"/>
    </w:rPr>
  </w:style>
  <w:style w:type="character" w:styleId="ListLabel38">
    <w:name w:val="ListLabel 38"/>
    <w:qFormat/>
    <w:rPr>
      <w:rFonts w:cs="OpenSymbol"/>
    </w:rPr>
  </w:style>
  <w:style w:type="character" w:styleId="ListLabel39">
    <w:name w:val="ListLabel 39"/>
    <w:qFormat/>
    <w:rPr>
      <w:rFonts w:cs="OpenSymbol"/>
    </w:rPr>
  </w:style>
  <w:style w:type="character" w:styleId="ListLabel40">
    <w:name w:val="ListLabel 40"/>
    <w:qFormat/>
    <w:rPr>
      <w:rFonts w:cs="Symbol"/>
    </w:rPr>
  </w:style>
  <w:style w:type="character" w:styleId="ListLabel41">
    <w:name w:val="ListLabel 41"/>
    <w:qFormat/>
    <w:rPr>
      <w:rFonts w:cs="OpenSymbol"/>
    </w:rPr>
  </w:style>
  <w:style w:type="character" w:styleId="ListLabel42">
    <w:name w:val="ListLabel 42"/>
    <w:qFormat/>
    <w:rPr>
      <w:rFonts w:cs="OpenSymbol"/>
    </w:rPr>
  </w:style>
  <w:style w:type="character" w:styleId="ListLabel43">
    <w:name w:val="ListLabel 43"/>
    <w:qFormat/>
    <w:rPr>
      <w:rFonts w:cs="Symbol"/>
    </w:rPr>
  </w:style>
  <w:style w:type="character" w:styleId="ListLabel44">
    <w:name w:val="ListLabel 44"/>
    <w:qFormat/>
    <w:rPr>
      <w:rFonts w:cs="OpenSymbol"/>
    </w:rPr>
  </w:style>
  <w:style w:type="character" w:styleId="ListLabel45">
    <w:name w:val="ListLabel 45"/>
    <w:qFormat/>
    <w:rPr>
      <w:rFonts w:cs="OpenSymbol"/>
    </w:rPr>
  </w:style>
  <w:style w:type="character" w:styleId="ListLabel46">
    <w:name w:val="ListLabel 46"/>
    <w:qFormat/>
    <w:rPr>
      <w:rFonts w:cs="Symbol"/>
    </w:rPr>
  </w:style>
  <w:style w:type="character" w:styleId="ListLabel47">
    <w:name w:val="ListLabel 47"/>
    <w:qFormat/>
    <w:rPr>
      <w:rFonts w:cs="OpenSymbol"/>
    </w:rPr>
  </w:style>
  <w:style w:type="character" w:styleId="ListLabel48">
    <w:name w:val="ListLabel 48"/>
    <w:qFormat/>
    <w:rPr>
      <w:rFonts w:cs="OpenSymbol"/>
    </w:rPr>
  </w:style>
  <w:style w:type="character" w:styleId="ListLabel49">
    <w:name w:val="ListLabel 49"/>
    <w:qFormat/>
    <w:rPr>
      <w:rFonts w:cs="Symbol"/>
    </w:rPr>
  </w:style>
  <w:style w:type="character" w:styleId="ListLabel50">
    <w:name w:val="ListLabel 50"/>
    <w:qFormat/>
    <w:rPr>
      <w:rFonts w:cs="OpenSymbol"/>
    </w:rPr>
  </w:style>
  <w:style w:type="character" w:styleId="ListLabel51">
    <w:name w:val="ListLabel 51"/>
    <w:qFormat/>
    <w:rPr>
      <w:rFonts w:cs="OpenSymbol"/>
    </w:rPr>
  </w:style>
  <w:style w:type="character" w:styleId="ListLabel52">
    <w:name w:val="ListLabel 52"/>
    <w:qFormat/>
    <w:rPr>
      <w:rFonts w:cs="Symbol"/>
    </w:rPr>
  </w:style>
  <w:style w:type="character" w:styleId="ListLabel53">
    <w:name w:val="ListLabel 53"/>
    <w:qFormat/>
    <w:rPr>
      <w:rFonts w:cs="OpenSymbol"/>
    </w:rPr>
  </w:style>
  <w:style w:type="character" w:styleId="ListLabel54">
    <w:name w:val="ListLabel 54"/>
    <w:qFormat/>
    <w:rPr>
      <w:rFonts w:cs="OpenSymbol"/>
    </w:rPr>
  </w:style>
  <w:style w:type="character" w:styleId="ListLabel55">
    <w:name w:val="ListLabel 55"/>
    <w:qFormat/>
    <w:rPr>
      <w:rFonts w:cs="Symbol"/>
    </w:rPr>
  </w:style>
  <w:style w:type="character" w:styleId="ListLabel56">
    <w:name w:val="ListLabel 56"/>
    <w:qFormat/>
    <w:rPr>
      <w:rFonts w:cs="OpenSymbol"/>
    </w:rPr>
  </w:style>
  <w:style w:type="character" w:styleId="ListLabel57">
    <w:name w:val="ListLabel 57"/>
    <w:qFormat/>
    <w:rPr>
      <w:rFonts w:cs="OpenSymbol"/>
    </w:rPr>
  </w:style>
  <w:style w:type="character" w:styleId="ListLabel58">
    <w:name w:val="ListLabel 58"/>
    <w:qFormat/>
    <w:rPr>
      <w:rFonts w:cs="Symbol"/>
    </w:rPr>
  </w:style>
  <w:style w:type="character" w:styleId="ListLabel59">
    <w:name w:val="ListLabel 59"/>
    <w:qFormat/>
    <w:rPr>
      <w:rFonts w:cs="OpenSymbol"/>
    </w:rPr>
  </w:style>
  <w:style w:type="character" w:styleId="ListLabel60">
    <w:name w:val="ListLabel 60"/>
    <w:qFormat/>
    <w:rPr>
      <w:rFonts w:cs="OpenSymbol"/>
    </w:rPr>
  </w:style>
  <w:style w:type="character" w:styleId="ListLabel61">
    <w:name w:val="ListLabel 61"/>
    <w:qFormat/>
    <w:rPr>
      <w:rFonts w:cs="Symbol"/>
    </w:rPr>
  </w:style>
  <w:style w:type="character" w:styleId="ListLabel62">
    <w:name w:val="ListLabel 62"/>
    <w:qFormat/>
    <w:rPr>
      <w:rFonts w:cs="OpenSymbol"/>
    </w:rPr>
  </w:style>
  <w:style w:type="character" w:styleId="ListLabel63">
    <w:name w:val="ListLabel 63"/>
    <w:qFormat/>
    <w:rPr>
      <w:rFonts w:cs="OpenSymbol"/>
    </w:rPr>
  </w:style>
  <w:style w:type="character" w:styleId="ListLabel64">
    <w:name w:val="ListLabel 64"/>
    <w:qFormat/>
    <w:rPr>
      <w:rFonts w:cs="Symbol"/>
    </w:rPr>
  </w:style>
  <w:style w:type="character" w:styleId="ListLabel65">
    <w:name w:val="ListLabel 65"/>
    <w:qFormat/>
    <w:rPr>
      <w:rFonts w:cs="OpenSymbol"/>
    </w:rPr>
  </w:style>
  <w:style w:type="character" w:styleId="ListLabel66">
    <w:name w:val="ListLabel 66"/>
    <w:qFormat/>
    <w:rPr>
      <w:rFonts w:cs="OpenSymbol"/>
    </w:rPr>
  </w:style>
  <w:style w:type="character" w:styleId="ListLabel67">
    <w:name w:val="ListLabel 67"/>
    <w:qFormat/>
    <w:rPr>
      <w:rFonts w:cs="Symbol"/>
    </w:rPr>
  </w:style>
  <w:style w:type="character" w:styleId="ListLabel68">
    <w:name w:val="ListLabel 68"/>
    <w:qFormat/>
    <w:rPr>
      <w:rFonts w:cs="OpenSymbol"/>
    </w:rPr>
  </w:style>
  <w:style w:type="character" w:styleId="ListLabel69">
    <w:name w:val="ListLabel 69"/>
    <w:qFormat/>
    <w:rPr>
      <w:rFonts w:cs="OpenSymbol"/>
    </w:rPr>
  </w:style>
  <w:style w:type="character" w:styleId="ListLabel70">
    <w:name w:val="ListLabel 70"/>
    <w:qFormat/>
    <w:rPr>
      <w:rFonts w:cs="Symbol"/>
    </w:rPr>
  </w:style>
  <w:style w:type="character" w:styleId="ListLabel71">
    <w:name w:val="ListLabel 71"/>
    <w:qFormat/>
    <w:rPr>
      <w:rFonts w:cs="OpenSymbol"/>
    </w:rPr>
  </w:style>
  <w:style w:type="character" w:styleId="ListLabel72">
    <w:name w:val="ListLabel 72"/>
    <w:qFormat/>
    <w:rPr>
      <w:rFonts w:cs="OpenSymbol"/>
    </w:rPr>
  </w:style>
  <w:style w:type="character" w:styleId="ListLabel73">
    <w:name w:val="ListLabel 73"/>
    <w:qFormat/>
    <w:rPr>
      <w:rFonts w:cs="Symbol"/>
    </w:rPr>
  </w:style>
  <w:style w:type="character" w:styleId="ListLabel74">
    <w:name w:val="ListLabel 74"/>
    <w:qFormat/>
    <w:rPr>
      <w:rFonts w:cs="OpenSymbol"/>
    </w:rPr>
  </w:style>
  <w:style w:type="character" w:styleId="ListLabel75">
    <w:name w:val="ListLabel 75"/>
    <w:qFormat/>
    <w:rPr>
      <w:rFonts w:cs="OpenSymbol"/>
    </w:rPr>
  </w:style>
  <w:style w:type="character" w:styleId="ListLabel76">
    <w:name w:val="ListLabel 76"/>
    <w:qFormat/>
    <w:rPr>
      <w:rFonts w:cs="Symbol"/>
    </w:rPr>
  </w:style>
  <w:style w:type="character" w:styleId="ListLabel77">
    <w:name w:val="ListLabel 77"/>
    <w:qFormat/>
    <w:rPr>
      <w:rFonts w:cs="OpenSymbol"/>
    </w:rPr>
  </w:style>
  <w:style w:type="character" w:styleId="ListLabel78">
    <w:name w:val="ListLabel 78"/>
    <w:qFormat/>
    <w:rPr>
      <w:rFonts w:cs="OpenSymbol"/>
    </w:rPr>
  </w:style>
  <w:style w:type="character" w:styleId="ListLabel79">
    <w:name w:val="ListLabel 79"/>
    <w:qFormat/>
    <w:rPr>
      <w:rFonts w:cs="Symbol"/>
    </w:rPr>
  </w:style>
  <w:style w:type="character" w:styleId="ListLabel80">
    <w:name w:val="ListLabel 80"/>
    <w:qFormat/>
    <w:rPr>
      <w:rFonts w:cs="OpenSymbol"/>
    </w:rPr>
  </w:style>
  <w:style w:type="character" w:styleId="ListLabel81">
    <w:name w:val="ListLabel 81"/>
    <w:qFormat/>
    <w:rPr>
      <w:rFonts w:cs="OpenSymbol"/>
    </w:rPr>
  </w:style>
  <w:style w:type="character" w:styleId="ListLabel82">
    <w:name w:val="ListLabel 82"/>
    <w:qFormat/>
    <w:rPr>
      <w:rFonts w:cs="Symbol"/>
    </w:rPr>
  </w:style>
  <w:style w:type="character" w:styleId="ListLabel83">
    <w:name w:val="ListLabel 83"/>
    <w:qFormat/>
    <w:rPr>
      <w:rFonts w:cs="OpenSymbol"/>
    </w:rPr>
  </w:style>
  <w:style w:type="character" w:styleId="ListLabel84">
    <w:name w:val="ListLabel 84"/>
    <w:qFormat/>
    <w:rPr>
      <w:rFonts w:cs="OpenSymbol"/>
    </w:rPr>
  </w:style>
  <w:style w:type="character" w:styleId="ListLabel85">
    <w:name w:val="ListLabel 85"/>
    <w:qFormat/>
    <w:rPr>
      <w:rFonts w:cs="Symbol"/>
    </w:rPr>
  </w:style>
  <w:style w:type="character" w:styleId="ListLabel86">
    <w:name w:val="ListLabel 86"/>
    <w:qFormat/>
    <w:rPr>
      <w:rFonts w:cs="OpenSymbol"/>
    </w:rPr>
  </w:style>
  <w:style w:type="character" w:styleId="ListLabel87">
    <w:name w:val="ListLabel 87"/>
    <w:qFormat/>
    <w:rPr>
      <w:rFonts w:cs="OpenSymbol"/>
    </w:rPr>
  </w:style>
  <w:style w:type="character" w:styleId="ListLabel88">
    <w:name w:val="ListLabel 88"/>
    <w:qFormat/>
    <w:rPr>
      <w:rFonts w:cs="Symbol"/>
    </w:rPr>
  </w:style>
  <w:style w:type="character" w:styleId="ListLabel89">
    <w:name w:val="ListLabel 89"/>
    <w:qFormat/>
    <w:rPr>
      <w:rFonts w:cs="OpenSymbol"/>
    </w:rPr>
  </w:style>
  <w:style w:type="character" w:styleId="ListLabel90">
    <w:name w:val="ListLabel 90"/>
    <w:qFormat/>
    <w:rPr>
      <w:rFonts w:cs="OpenSymbol"/>
    </w:rPr>
  </w:style>
  <w:style w:type="paragraph" w:styleId="Ttulo">
    <w:name w:val="Título"/>
    <w:basedOn w:val="Normal"/>
    <w:next w:val="Cuerpodetexto"/>
    <w:qFormat/>
    <w:pPr>
      <w:keepNext w:val="true"/>
      <w:spacing w:before="240" w:after="120"/>
    </w:pPr>
    <w:rPr>
      <w:rFonts w:ascii="Liberation Sans" w:hAnsi="Liberation Sans" w:eastAsia="Microsoft YaHei" w:cs="Arial Unicode MS"/>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Arial Unicode MS"/>
    </w:rPr>
  </w:style>
  <w:style w:type="paragraph" w:styleId="Leyenda">
    <w:name w:val="Caption"/>
    <w:basedOn w:val="Normal"/>
    <w:qFormat/>
    <w:pPr>
      <w:suppressLineNumbers/>
      <w:spacing w:before="120" w:after="120"/>
    </w:pPr>
    <w:rPr>
      <w:rFonts w:cs="Arial Unicode MS"/>
      <w:i/>
      <w:iCs/>
      <w:sz w:val="24"/>
      <w:szCs w:val="24"/>
    </w:rPr>
  </w:style>
  <w:style w:type="paragraph" w:styleId="Ndice">
    <w:name w:val="Índice"/>
    <w:basedOn w:val="Normal"/>
    <w:qFormat/>
    <w:pPr>
      <w:suppressLineNumbers/>
    </w:pPr>
    <w:rPr>
      <w:rFonts w:cs="Arial Unicode MS"/>
    </w:rPr>
  </w:style>
  <w:style w:type="paragraph" w:styleId="Contenidodelatabla">
    <w:name w:val="Contenido de la tabla"/>
    <w:basedOn w:val="Normal"/>
    <w:qFormat/>
    <w:pPr>
      <w:suppressLineNumbers/>
    </w:pPr>
    <w:rPr/>
  </w:style>
  <w:style w:type="paragraph" w:styleId="Cabecera">
    <w:name w:val="Header"/>
    <w:basedOn w:val="Normal"/>
    <w:pPr>
      <w:suppressLineNumbers/>
      <w:tabs>
        <w:tab w:val="center" w:pos="7285" w:leader="none"/>
        <w:tab w:val="right" w:pos="14570" w:leader="none"/>
      </w:tabs>
    </w:pPr>
    <w:rPr/>
  </w:style>
  <w:style w:type="paragraph" w:styleId="CabeceraConsejera">
    <w:name w:val="Cabecera - Consejería"/>
    <w:qFormat/>
    <w:pPr>
      <w:widowControl/>
      <w:suppressAutoHyphens w:val="true"/>
      <w:bidi w:val="0"/>
      <w:jc w:val="left"/>
    </w:pPr>
    <w:rPr>
      <w:rFonts w:ascii="Source Sans Pro Semibold" w:hAnsi="Source Sans Pro Semibold" w:eastAsia="Noto Sans HK Medium" w:cs="Source Sans Pro Semibold"/>
      <w:color w:val="00000A"/>
      <w:kern w:val="2"/>
      <w:sz w:val="18"/>
      <w:szCs w:val="17"/>
      <w:lang w:val="es-ES" w:eastAsia="zh-CN" w:bidi="ar-SA"/>
    </w:rPr>
  </w:style>
  <w:style w:type="paragraph" w:styleId="CabeceraCentrodirectivo">
    <w:name w:val="Cabecera - Centro directivo"/>
    <w:qFormat/>
    <w:pPr>
      <w:widowControl/>
      <w:suppressAutoHyphens w:val="true"/>
      <w:bidi w:val="0"/>
      <w:spacing w:before="40" w:after="0"/>
      <w:jc w:val="left"/>
    </w:pPr>
    <w:rPr>
      <w:rFonts w:ascii="Source Sans Pro" w:hAnsi="Source Sans Pro" w:eastAsia="Noto Sans HK" w:cs="Source Sans Pro"/>
      <w:color w:val="00000A"/>
      <w:kern w:val="2"/>
      <w:sz w:val="18"/>
      <w:szCs w:val="16"/>
      <w:lang w:val="es-ES" w:eastAsia="zh-CN" w:bidi="ar-SA"/>
    </w:rPr>
  </w:style>
  <w:style w:type="paragraph" w:styleId="Contenidodelmarco">
    <w:name w:val="Contenido del marco"/>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56</TotalTime>
  <Application>LibreOffice/6.0.5.2$Windows_X86_64 LibreOffice_project/54c8cbb85f300ac59db32fe8a675ff7683cd5a16</Application>
  <Pages>4</Pages>
  <Words>1047</Words>
  <Characters>5524</Characters>
  <CharactersWithSpaces>6513</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2026-03-27T12:39:00Z</dcterms:created>
  <dc:creator/>
  <dc:description/>
  <dc:language>es-ES</dc:language>
  <cp:lastModifiedBy/>
  <dcterms:modified xsi:type="dcterms:W3CDTF">2026-04-06T14:01:22Z</dcterms:modified>
  <cp:revision>7</cp:revision>
  <dc:subject/>
  <dc:title/>
</cp:coreProperties>
</file>